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7A" w:rsidRPr="00000E40" w:rsidRDefault="00EE0F7A" w:rsidP="00EE0F7A">
      <w:pPr>
        <w:pStyle w:val="Header"/>
        <w:tabs>
          <w:tab w:val="clear" w:pos="4536"/>
          <w:tab w:val="clear" w:pos="9072"/>
          <w:tab w:val="right" w:pos="9540"/>
        </w:tabs>
        <w:spacing w:line="400" w:lineRule="exact"/>
        <w:jc w:val="both"/>
        <w:rPr>
          <w:rFonts w:eastAsia="PMingLiU"/>
          <w:sz w:val="24"/>
          <w:lang w:val="sv-SE" w:eastAsia="zh-TW"/>
        </w:rPr>
      </w:pPr>
      <w:bookmarkStart w:id="0" w:name="OLE_LINK1"/>
      <w:r w:rsidRPr="00000E40">
        <w:rPr>
          <w:sz w:val="24"/>
          <w:lang w:val="sv-SE"/>
        </w:rPr>
        <w:t xml:space="preserve">3GPP TSG-RAN </w:t>
      </w:r>
      <w:r w:rsidRPr="00000E40">
        <w:rPr>
          <w:color w:val="000000"/>
          <w:sz w:val="24"/>
          <w:lang w:val="sv-SE"/>
        </w:rPr>
        <w:t>WG1 #6</w:t>
      </w:r>
      <w:r w:rsidR="00762123">
        <w:rPr>
          <w:color w:val="000000"/>
          <w:sz w:val="24"/>
          <w:lang w:val="sv-SE"/>
        </w:rPr>
        <w:t>8</w:t>
      </w:r>
      <w:r w:rsidRPr="00000E40">
        <w:rPr>
          <w:sz w:val="24"/>
          <w:lang w:val="sv-SE"/>
        </w:rPr>
        <w:tab/>
        <w:t>R1-</w:t>
      </w:r>
      <w:r w:rsidRPr="00000E40">
        <w:rPr>
          <w:rFonts w:eastAsia="PMingLiU"/>
          <w:sz w:val="24"/>
          <w:lang w:val="sv-SE" w:eastAsia="zh-TW"/>
        </w:rPr>
        <w:t>1</w:t>
      </w:r>
      <w:r w:rsidR="00762123">
        <w:rPr>
          <w:rFonts w:eastAsia="PMingLiU"/>
          <w:sz w:val="24"/>
          <w:lang w:val="sv-SE" w:eastAsia="zh-TW"/>
        </w:rPr>
        <w:t>2</w:t>
      </w:r>
      <w:r w:rsidR="00E4754F">
        <w:rPr>
          <w:rFonts w:eastAsia="PMingLiU"/>
          <w:sz w:val="24"/>
          <w:lang w:val="sv-SE" w:eastAsia="zh-TW"/>
        </w:rPr>
        <w:t>0636</w:t>
      </w:r>
    </w:p>
    <w:p w:rsidR="00510D9C" w:rsidRPr="00000E40" w:rsidRDefault="00762123" w:rsidP="00510D9C">
      <w:pPr>
        <w:pStyle w:val="Header"/>
        <w:widowControl w:val="0"/>
        <w:spacing w:after="120"/>
        <w:rPr>
          <w:sz w:val="24"/>
          <w:lang w:val="sv-SE"/>
        </w:rPr>
      </w:pPr>
      <w:r>
        <w:rPr>
          <w:rFonts w:eastAsia="SimSun"/>
          <w:sz w:val="24"/>
          <w:lang w:val="sv-SE" w:eastAsia="zh-CN"/>
        </w:rPr>
        <w:t>Dresden, Germany</w:t>
      </w:r>
      <w:r w:rsidR="00510D9C" w:rsidRPr="00000E40">
        <w:rPr>
          <w:sz w:val="24"/>
          <w:lang w:val="sv-SE"/>
        </w:rPr>
        <w:t xml:space="preserve">, </w:t>
      </w:r>
      <w:r>
        <w:rPr>
          <w:sz w:val="24"/>
          <w:lang w:val="sv-SE"/>
        </w:rPr>
        <w:t>6</w:t>
      </w:r>
      <w:r w:rsidR="00510D9C" w:rsidRPr="00000E40">
        <w:rPr>
          <w:sz w:val="24"/>
          <w:lang w:val="sv-SE"/>
        </w:rPr>
        <w:t xml:space="preserve"> </w:t>
      </w:r>
      <w:r w:rsidR="00297397" w:rsidRPr="00000E40">
        <w:rPr>
          <w:sz w:val="24"/>
          <w:lang w:val="sv-SE"/>
        </w:rPr>
        <w:t>–</w:t>
      </w:r>
      <w:r w:rsidR="00510D9C" w:rsidRPr="00000E40">
        <w:rPr>
          <w:sz w:val="24"/>
          <w:lang w:val="sv-SE"/>
        </w:rPr>
        <w:t xml:space="preserve"> </w:t>
      </w:r>
      <w:r w:rsidR="00E7310E" w:rsidRPr="00000E40">
        <w:rPr>
          <w:rFonts w:eastAsia="SimSun" w:hint="eastAsia"/>
          <w:sz w:val="24"/>
          <w:lang w:val="sv-SE" w:eastAsia="zh-CN"/>
        </w:rPr>
        <w:t>1</w:t>
      </w:r>
      <w:r>
        <w:rPr>
          <w:rFonts w:eastAsia="SimSun"/>
          <w:sz w:val="24"/>
          <w:lang w:val="sv-SE" w:eastAsia="zh-CN"/>
        </w:rPr>
        <w:t>0</w:t>
      </w:r>
      <w:r w:rsidR="00510D9C" w:rsidRPr="00000E40">
        <w:rPr>
          <w:sz w:val="24"/>
          <w:lang w:val="sv-SE"/>
        </w:rPr>
        <w:t xml:space="preserve"> </w:t>
      </w:r>
      <w:r>
        <w:rPr>
          <w:sz w:val="24"/>
          <w:lang w:val="sv-SE"/>
        </w:rPr>
        <w:t>February 2012</w:t>
      </w:r>
    </w:p>
    <w:bookmarkEnd w:id="0"/>
    <w:p w:rsidR="00EE0F7A" w:rsidRPr="00000E40" w:rsidRDefault="00EE0F7A" w:rsidP="00EE0F7A">
      <w:pPr>
        <w:pStyle w:val="Header"/>
        <w:tabs>
          <w:tab w:val="clear" w:pos="4536"/>
          <w:tab w:val="left" w:pos="2160"/>
        </w:tabs>
        <w:spacing w:line="400" w:lineRule="exact"/>
        <w:ind w:left="1800" w:hanging="1800"/>
        <w:jc w:val="both"/>
        <w:rPr>
          <w:rFonts w:eastAsia="PMingLiU"/>
          <w:sz w:val="24"/>
          <w:lang w:eastAsia="zh-TW"/>
        </w:rPr>
      </w:pPr>
      <w:r w:rsidRPr="00000E40">
        <w:rPr>
          <w:sz w:val="24"/>
        </w:rPr>
        <w:t>Source:</w:t>
      </w:r>
      <w:r w:rsidRPr="00000E40">
        <w:rPr>
          <w:sz w:val="24"/>
        </w:rPr>
        <w:tab/>
      </w:r>
      <w:r w:rsidRPr="00000E40">
        <w:rPr>
          <w:rFonts w:eastAsia="PMingLiU" w:hint="eastAsia"/>
          <w:sz w:val="24"/>
          <w:lang w:eastAsia="zh-TW"/>
        </w:rPr>
        <w:t>MediaTek Inc.</w:t>
      </w:r>
    </w:p>
    <w:p w:rsidR="00297397" w:rsidRPr="00000E40" w:rsidRDefault="00EE0F7A" w:rsidP="00297397">
      <w:pPr>
        <w:ind w:left="1350" w:hanging="1350"/>
        <w:rPr>
          <w:rFonts w:eastAsia="SimSun"/>
          <w:sz w:val="24"/>
          <w:lang w:eastAsia="zh-CN"/>
        </w:rPr>
      </w:pPr>
      <w:r w:rsidRPr="00000E40">
        <w:rPr>
          <w:rFonts w:ascii="Arial" w:eastAsia="MS Mincho" w:hAnsi="Arial"/>
          <w:b/>
          <w:sz w:val="24"/>
          <w:lang w:val="sv-SE"/>
        </w:rPr>
        <w:t>Title:</w:t>
      </w:r>
      <w:bookmarkStart w:id="1" w:name="Title"/>
      <w:bookmarkEnd w:id="1"/>
      <w:r w:rsidRPr="00000E40">
        <w:rPr>
          <w:rFonts w:ascii="Arial" w:eastAsia="MS Mincho" w:hAnsi="Arial"/>
          <w:b/>
          <w:sz w:val="24"/>
          <w:lang w:val="sv-SE"/>
        </w:rPr>
        <w:tab/>
      </w:r>
      <w:r w:rsidR="00923FC9" w:rsidRPr="00923FC9">
        <w:rPr>
          <w:rFonts w:ascii="Arial" w:eastAsia="MS Mincho" w:hAnsi="Arial"/>
          <w:b/>
          <w:sz w:val="24"/>
          <w:lang w:val="sv-SE"/>
        </w:rPr>
        <w:t>Cost Drivers of LTE modem and Text Proposal</w:t>
      </w:r>
    </w:p>
    <w:p w:rsidR="00EE0F7A" w:rsidRPr="00000E40" w:rsidRDefault="00EE0F7A" w:rsidP="00EE0F7A">
      <w:pPr>
        <w:pStyle w:val="Header"/>
        <w:tabs>
          <w:tab w:val="clear" w:pos="4536"/>
          <w:tab w:val="left" w:pos="2160"/>
        </w:tabs>
        <w:spacing w:line="400" w:lineRule="exact"/>
        <w:jc w:val="both"/>
        <w:rPr>
          <w:rFonts w:eastAsia="PMingLiU"/>
          <w:sz w:val="24"/>
          <w:lang w:eastAsia="zh-TW"/>
        </w:rPr>
      </w:pPr>
      <w:r w:rsidRPr="00000E40">
        <w:rPr>
          <w:sz w:val="24"/>
        </w:rPr>
        <w:t>Agenda Item:</w:t>
      </w:r>
      <w:bookmarkStart w:id="2" w:name="Source"/>
      <w:bookmarkEnd w:id="2"/>
      <w:r w:rsidR="0029780C" w:rsidRPr="00000E40">
        <w:rPr>
          <w:rFonts w:eastAsia="SimSun" w:hint="eastAsia"/>
          <w:sz w:val="24"/>
          <w:lang w:eastAsia="zh-CN"/>
        </w:rPr>
        <w:t xml:space="preserve"> </w:t>
      </w:r>
      <w:r w:rsidR="00896ED7" w:rsidRPr="00000E40">
        <w:rPr>
          <w:rFonts w:eastAsia="SimSun"/>
          <w:sz w:val="24"/>
          <w:lang w:eastAsia="zh-CN"/>
        </w:rPr>
        <w:t>7.</w:t>
      </w:r>
      <w:r w:rsidR="00762123">
        <w:rPr>
          <w:rFonts w:eastAsia="SimSun"/>
          <w:sz w:val="24"/>
          <w:lang w:eastAsia="zh-CN"/>
        </w:rPr>
        <w:t>7.</w:t>
      </w:r>
      <w:r w:rsidR="00923FC9">
        <w:rPr>
          <w:rFonts w:eastAsia="SimSun"/>
          <w:sz w:val="24"/>
          <w:lang w:eastAsia="zh-CN"/>
        </w:rPr>
        <w:t>6</w:t>
      </w:r>
      <w:r w:rsidRPr="00000E40">
        <w:rPr>
          <w:sz w:val="24"/>
        </w:rPr>
        <w:tab/>
      </w:r>
    </w:p>
    <w:p w:rsidR="00EE0F7A" w:rsidRPr="00000E40" w:rsidRDefault="00EE0F7A" w:rsidP="00EE0F7A">
      <w:pPr>
        <w:pStyle w:val="Header"/>
        <w:tabs>
          <w:tab w:val="clear" w:pos="4536"/>
          <w:tab w:val="clear" w:pos="9072"/>
          <w:tab w:val="left" w:pos="2160"/>
        </w:tabs>
        <w:spacing w:line="400" w:lineRule="exact"/>
        <w:jc w:val="both"/>
        <w:rPr>
          <w:sz w:val="24"/>
        </w:rPr>
      </w:pPr>
      <w:r w:rsidRPr="00000E40">
        <w:rPr>
          <w:sz w:val="24"/>
        </w:rPr>
        <w:t>Document for:</w:t>
      </w:r>
      <w:bookmarkStart w:id="3" w:name="DocumentFor"/>
      <w:bookmarkEnd w:id="3"/>
      <w:r w:rsidRPr="00000E40">
        <w:rPr>
          <w:sz w:val="24"/>
        </w:rPr>
        <w:t xml:space="preserve"> </w:t>
      </w:r>
      <w:r w:rsidRPr="00000E40">
        <w:rPr>
          <w:sz w:val="24"/>
        </w:rPr>
        <w:tab/>
      </w:r>
      <w:r w:rsidRPr="00000E40">
        <w:rPr>
          <w:rFonts w:eastAsia="PMingLiU"/>
          <w:sz w:val="24"/>
          <w:lang w:eastAsia="zh-TW"/>
        </w:rPr>
        <w:t>Discussion</w:t>
      </w:r>
      <w:r w:rsidR="00923FC9">
        <w:rPr>
          <w:rFonts w:eastAsia="PMingLiU"/>
          <w:sz w:val="24"/>
          <w:lang w:eastAsia="zh-TW"/>
        </w:rPr>
        <w:t>/Decision</w:t>
      </w:r>
    </w:p>
    <w:p w:rsidR="00795DB8" w:rsidRPr="00216A4F" w:rsidRDefault="00795DB8" w:rsidP="00EA7BAE">
      <w:pPr>
        <w:pBdr>
          <w:bottom w:val="single" w:sz="4" w:space="1" w:color="auto"/>
        </w:pBdr>
        <w:tabs>
          <w:tab w:val="left" w:pos="2552"/>
        </w:tabs>
      </w:pPr>
    </w:p>
    <w:p w:rsidR="004506C7" w:rsidRDefault="00AF1102" w:rsidP="005E7111">
      <w:pPr>
        <w:pStyle w:val="Heading1"/>
        <w:numPr>
          <w:ilvl w:val="0"/>
          <w:numId w:val="1"/>
        </w:numPr>
        <w:spacing w:after="120"/>
        <w:ind w:left="540" w:hanging="540"/>
        <w:rPr>
          <w:rFonts w:eastAsia="PMingLiU"/>
          <w:sz w:val="32"/>
          <w:lang w:eastAsia="zh-TW"/>
        </w:rPr>
      </w:pPr>
      <w:r w:rsidRPr="00EE0F7A">
        <w:rPr>
          <w:sz w:val="32"/>
        </w:rPr>
        <w:t>Introduction</w:t>
      </w:r>
    </w:p>
    <w:p w:rsidR="00002187" w:rsidRDefault="00923FC9" w:rsidP="009B33DD">
      <w:pPr>
        <w:pStyle w:val="BodyText"/>
        <w:rPr>
          <w:rFonts w:eastAsia="SimSun"/>
          <w:lang w:eastAsia="zh-CN"/>
        </w:rPr>
      </w:pPr>
      <w:r>
        <w:rPr>
          <w:rFonts w:eastAsia="SimSun"/>
          <w:lang w:eastAsia="zh-CN"/>
        </w:rPr>
        <w:t>The content for following section 5.3 of the TR36.888</w:t>
      </w:r>
      <w:r w:rsidR="00296ED1">
        <w:rPr>
          <w:rFonts w:eastAsia="SimSun"/>
          <w:lang w:eastAsia="zh-CN"/>
        </w:rPr>
        <w:t xml:space="preserve"> </w:t>
      </w:r>
      <w:r w:rsidR="009A1055">
        <w:rPr>
          <w:rFonts w:eastAsia="SimSun"/>
          <w:lang w:eastAsia="zh-CN"/>
        </w:rPr>
        <w:fldChar w:fldCharType="begin"/>
      </w:r>
      <w:r w:rsidR="00296ED1">
        <w:rPr>
          <w:rFonts w:eastAsia="SimSun"/>
          <w:lang w:eastAsia="zh-CN"/>
        </w:rPr>
        <w:instrText xml:space="preserve"> REF _Ref308626990 \r \h </w:instrText>
      </w:r>
      <w:r w:rsidR="009A1055">
        <w:rPr>
          <w:rFonts w:eastAsia="SimSun"/>
          <w:lang w:eastAsia="zh-CN"/>
        </w:rPr>
      </w:r>
      <w:r w:rsidR="009A1055">
        <w:rPr>
          <w:rFonts w:eastAsia="SimSun"/>
          <w:lang w:eastAsia="zh-CN"/>
        </w:rPr>
        <w:fldChar w:fldCharType="separate"/>
      </w:r>
      <w:r w:rsidR="00296ED1">
        <w:rPr>
          <w:rFonts w:eastAsia="SimSun"/>
          <w:lang w:eastAsia="zh-CN"/>
        </w:rPr>
        <w:t>[1]</w:t>
      </w:r>
      <w:r w:rsidR="009A1055">
        <w:rPr>
          <w:rFonts w:eastAsia="SimSun"/>
          <w:lang w:eastAsia="zh-CN"/>
        </w:rPr>
        <w:fldChar w:fldCharType="end"/>
      </w:r>
      <w:r>
        <w:rPr>
          <w:rFonts w:eastAsia="SimSun"/>
          <w:lang w:eastAsia="zh-CN"/>
        </w:rPr>
        <w:t xml:space="preserve"> is still being developed</w:t>
      </w:r>
      <w:r w:rsidR="00E4754F">
        <w:rPr>
          <w:rFonts w:eastAsia="SimSun"/>
          <w:lang w:eastAsia="zh-CN"/>
        </w:rPr>
        <w:t xml:space="preserve"> with the skeleton outline as follows:</w:t>
      </w:r>
      <w:r>
        <w:rPr>
          <w:rFonts w:eastAsia="SimSun"/>
          <w:lang w:eastAsia="zh-CN"/>
        </w:rPr>
        <w:t xml:space="preserve"> </w:t>
      </w:r>
    </w:p>
    <w:p w:rsidR="00923FC9" w:rsidRPr="00923FC9" w:rsidRDefault="00923FC9" w:rsidP="00605D9C">
      <w:pPr>
        <w:pStyle w:val="Heading2"/>
        <w:rPr>
          <w:i/>
          <w:sz w:val="18"/>
          <w:szCs w:val="18"/>
        </w:rPr>
      </w:pPr>
      <w:bookmarkStart w:id="4" w:name="_Toc307815315"/>
      <w:r w:rsidRPr="00923FC9">
        <w:rPr>
          <w:i/>
          <w:sz w:val="18"/>
          <w:szCs w:val="18"/>
        </w:rPr>
        <w:t xml:space="preserve">5.3 </w:t>
      </w:r>
      <w:r w:rsidRPr="00923FC9">
        <w:rPr>
          <w:i/>
          <w:sz w:val="18"/>
          <w:szCs w:val="18"/>
        </w:rPr>
        <w:tab/>
        <w:t>Cost drivers of reference LTE modem</w:t>
      </w:r>
      <w:bookmarkEnd w:id="4"/>
    </w:p>
    <w:p w:rsidR="00923FC9" w:rsidRPr="00923FC9" w:rsidRDefault="00923FC9" w:rsidP="00605D9C">
      <w:pPr>
        <w:rPr>
          <w:i/>
          <w:color w:val="FF0000"/>
        </w:rPr>
      </w:pPr>
      <w:r w:rsidRPr="00923FC9">
        <w:rPr>
          <w:i/>
          <w:color w:val="FF0000"/>
          <w:sz w:val="18"/>
          <w:szCs w:val="18"/>
        </w:rPr>
        <w:t>[Editor’s Note: This sub-clause lists the major cost contributors in an LTE UE specifically RF and baseband. A possible representation is a relative cost in a scale of 1 to 10]</w:t>
      </w:r>
      <w:r w:rsidRPr="00923FC9">
        <w:rPr>
          <w:i/>
          <w:color w:val="FF0000"/>
        </w:rPr>
        <w:t xml:space="preserve">  </w:t>
      </w:r>
    </w:p>
    <w:p w:rsidR="00923FC9" w:rsidRDefault="00923FC9" w:rsidP="009B33DD">
      <w:pPr>
        <w:pStyle w:val="BodyText"/>
        <w:rPr>
          <w:rFonts w:eastAsia="SimSun"/>
          <w:lang w:eastAsia="zh-CN"/>
        </w:rPr>
      </w:pPr>
    </w:p>
    <w:p w:rsidR="00605D9C" w:rsidRDefault="00923FC9" w:rsidP="00605D9C">
      <w:pPr>
        <w:pStyle w:val="BodyText"/>
        <w:rPr>
          <w:rFonts w:eastAsia="SimSun"/>
          <w:lang w:eastAsia="zh-CN"/>
        </w:rPr>
      </w:pPr>
      <w:r>
        <w:rPr>
          <w:rFonts w:eastAsia="SimSun"/>
          <w:lang w:eastAsia="zh-CN"/>
        </w:rPr>
        <w:t>But the cost analysis in evaluation methodology has been agreed as follows</w:t>
      </w:r>
      <w:r w:rsidR="00296ED1">
        <w:rPr>
          <w:rFonts w:eastAsia="SimSun"/>
          <w:lang w:eastAsia="zh-CN"/>
        </w:rPr>
        <w:t xml:space="preserve"> </w:t>
      </w:r>
      <w:r w:rsidR="009A1055">
        <w:rPr>
          <w:rFonts w:eastAsia="SimSun"/>
          <w:lang w:eastAsia="zh-CN"/>
        </w:rPr>
        <w:fldChar w:fldCharType="begin"/>
      </w:r>
      <w:r w:rsidR="00296ED1">
        <w:rPr>
          <w:rFonts w:eastAsia="SimSun"/>
          <w:lang w:eastAsia="zh-CN"/>
        </w:rPr>
        <w:instrText xml:space="preserve"> REF _Ref315702468 \r \h </w:instrText>
      </w:r>
      <w:r w:rsidR="009A1055">
        <w:rPr>
          <w:rFonts w:eastAsia="SimSun"/>
          <w:lang w:eastAsia="zh-CN"/>
        </w:rPr>
      </w:r>
      <w:r w:rsidR="009A1055">
        <w:rPr>
          <w:rFonts w:eastAsia="SimSun"/>
          <w:lang w:eastAsia="zh-CN"/>
        </w:rPr>
        <w:fldChar w:fldCharType="separate"/>
      </w:r>
      <w:r w:rsidR="00296ED1">
        <w:rPr>
          <w:rFonts w:eastAsia="SimSun"/>
          <w:lang w:eastAsia="zh-CN"/>
        </w:rPr>
        <w:t>[2]</w:t>
      </w:r>
      <w:r w:rsidR="009A1055">
        <w:rPr>
          <w:rFonts w:eastAsia="SimSun"/>
          <w:lang w:eastAsia="zh-CN"/>
        </w:rPr>
        <w:fldChar w:fldCharType="end"/>
      </w:r>
      <w:r>
        <w:rPr>
          <w:rFonts w:eastAsia="SimSun"/>
          <w:lang w:eastAsia="zh-CN"/>
        </w:rPr>
        <w:t xml:space="preserve">: </w:t>
      </w:r>
    </w:p>
    <w:p w:rsidR="00923FC9" w:rsidRPr="00605D9C" w:rsidRDefault="00923FC9" w:rsidP="00605D9C">
      <w:pPr>
        <w:pStyle w:val="BodyText"/>
        <w:rPr>
          <w:rFonts w:eastAsia="SimSun"/>
          <w:lang w:eastAsia="zh-CN"/>
        </w:rPr>
      </w:pPr>
      <w:r w:rsidRPr="00923FC9">
        <w:rPr>
          <w:rFonts w:eastAsia="SimSun"/>
          <w:i/>
          <w:sz w:val="18"/>
          <w:szCs w:val="18"/>
          <w:lang w:eastAsia="zh-CN"/>
        </w:rPr>
        <w:t>The cost drivers are broadly categorized into two parts, RF components and processing, which may need different analysis methodology. The ADC/D</w:t>
      </w:r>
      <w:r>
        <w:rPr>
          <w:rFonts w:eastAsia="SimSun"/>
          <w:i/>
          <w:sz w:val="18"/>
          <w:szCs w:val="18"/>
          <w:lang w:eastAsia="zh-CN"/>
        </w:rPr>
        <w:t xml:space="preserve">AC and L2/L3 protocol support </w:t>
      </w:r>
      <w:r w:rsidRPr="00923FC9">
        <w:rPr>
          <w:rFonts w:eastAsia="SimSun"/>
          <w:i/>
          <w:sz w:val="18"/>
          <w:szCs w:val="18"/>
          <w:lang w:eastAsia="zh-CN"/>
        </w:rPr>
        <w:t>are included within the processing category. The cost analysis methodology should identify the percentage cost of each of the two parts, and, for each cost reduction technique, the relative percentage cost reduction to that of the reference LTE modem.</w:t>
      </w:r>
    </w:p>
    <w:p w:rsidR="00605D9C" w:rsidRDefault="00E4754F" w:rsidP="009B33DD">
      <w:pPr>
        <w:pStyle w:val="BodyText"/>
        <w:rPr>
          <w:rFonts w:eastAsia="SimSun"/>
          <w:lang w:eastAsia="zh-CN"/>
        </w:rPr>
      </w:pPr>
      <w:r>
        <w:rPr>
          <w:rFonts w:eastAsia="SimSun"/>
          <w:lang w:eastAsia="zh-CN"/>
        </w:rPr>
        <w:t>T</w:t>
      </w:r>
      <w:r w:rsidR="00923FC9">
        <w:rPr>
          <w:rFonts w:eastAsia="SimSun"/>
          <w:lang w:eastAsia="zh-CN"/>
        </w:rPr>
        <w:t xml:space="preserve">he cost drivers </w:t>
      </w:r>
      <w:r w:rsidR="00605D9C">
        <w:rPr>
          <w:rFonts w:eastAsia="SimSun"/>
          <w:lang w:eastAsia="zh-CN"/>
        </w:rPr>
        <w:t>should be used to help the cost analysis, in terms of calculating the relative percentage cost reduction for each cost reduction techniques</w:t>
      </w:r>
      <w:r w:rsidR="00296ED1">
        <w:rPr>
          <w:rFonts w:eastAsia="SimSun"/>
          <w:lang w:eastAsia="zh-CN"/>
        </w:rPr>
        <w:t xml:space="preserve"> which are identified as in </w:t>
      </w:r>
      <w:r w:rsidR="009A1055">
        <w:rPr>
          <w:rFonts w:eastAsia="SimSun"/>
          <w:lang w:eastAsia="zh-CN"/>
        </w:rPr>
        <w:fldChar w:fldCharType="begin"/>
      </w:r>
      <w:r w:rsidR="00296ED1">
        <w:rPr>
          <w:rFonts w:eastAsia="SimSun"/>
          <w:lang w:eastAsia="zh-CN"/>
        </w:rPr>
        <w:instrText xml:space="preserve"> REF _Ref315702538 \r \h </w:instrText>
      </w:r>
      <w:r w:rsidR="009A1055">
        <w:rPr>
          <w:rFonts w:eastAsia="SimSun"/>
          <w:lang w:eastAsia="zh-CN"/>
        </w:rPr>
      </w:r>
      <w:r w:rsidR="009A1055">
        <w:rPr>
          <w:rFonts w:eastAsia="SimSun"/>
          <w:lang w:eastAsia="zh-CN"/>
        </w:rPr>
        <w:fldChar w:fldCharType="separate"/>
      </w:r>
      <w:r w:rsidR="00296ED1">
        <w:rPr>
          <w:rFonts w:eastAsia="SimSun"/>
          <w:lang w:eastAsia="zh-CN"/>
        </w:rPr>
        <w:t>[3]</w:t>
      </w:r>
      <w:r w:rsidR="009A1055">
        <w:rPr>
          <w:rFonts w:eastAsia="SimSun"/>
          <w:lang w:eastAsia="zh-CN"/>
        </w:rPr>
        <w:fldChar w:fldCharType="end"/>
      </w:r>
      <w:r w:rsidR="00296ED1">
        <w:rPr>
          <w:rFonts w:eastAsia="SimSun"/>
          <w:lang w:eastAsia="zh-CN"/>
        </w:rPr>
        <w:t xml:space="preserve"> and to be included in Section 6 of the TR:</w:t>
      </w:r>
    </w:p>
    <w:p w:rsidR="00605D9C" w:rsidRPr="00605D9C" w:rsidRDefault="00605D9C" w:rsidP="00605D9C">
      <w:pPr>
        <w:pStyle w:val="BodyText"/>
        <w:numPr>
          <w:ilvl w:val="0"/>
          <w:numId w:val="21"/>
        </w:numPr>
        <w:rPr>
          <w:rFonts w:eastAsia="SimSun"/>
          <w:i/>
          <w:sz w:val="18"/>
          <w:szCs w:val="18"/>
          <w:lang w:eastAsia="zh-CN"/>
        </w:rPr>
      </w:pPr>
      <w:r w:rsidRPr="00605D9C">
        <w:rPr>
          <w:rFonts w:eastAsia="SimSun"/>
          <w:i/>
          <w:sz w:val="18"/>
          <w:szCs w:val="18"/>
          <w:lang w:eastAsia="zh-CN"/>
        </w:rPr>
        <w:t>Reduction of maximum bandwidth</w:t>
      </w:r>
    </w:p>
    <w:p w:rsidR="00605D9C" w:rsidRPr="00605D9C" w:rsidRDefault="00605D9C" w:rsidP="00605D9C">
      <w:pPr>
        <w:pStyle w:val="BodyText"/>
        <w:numPr>
          <w:ilvl w:val="0"/>
          <w:numId w:val="21"/>
        </w:numPr>
        <w:rPr>
          <w:rFonts w:eastAsia="SimSun"/>
          <w:i/>
          <w:sz w:val="18"/>
          <w:szCs w:val="18"/>
          <w:lang w:eastAsia="zh-CN"/>
        </w:rPr>
      </w:pPr>
      <w:r w:rsidRPr="00605D9C">
        <w:rPr>
          <w:rFonts w:eastAsia="SimSun"/>
          <w:i/>
          <w:sz w:val="18"/>
          <w:szCs w:val="18"/>
          <w:lang w:eastAsia="zh-CN"/>
        </w:rPr>
        <w:t>Single receive RF chain</w:t>
      </w:r>
    </w:p>
    <w:p w:rsidR="00605D9C" w:rsidRPr="00605D9C" w:rsidRDefault="00605D9C" w:rsidP="00605D9C">
      <w:pPr>
        <w:pStyle w:val="BodyText"/>
        <w:numPr>
          <w:ilvl w:val="0"/>
          <w:numId w:val="21"/>
        </w:numPr>
        <w:rPr>
          <w:rFonts w:eastAsia="SimSun"/>
          <w:i/>
          <w:sz w:val="18"/>
          <w:szCs w:val="18"/>
          <w:lang w:eastAsia="zh-CN"/>
        </w:rPr>
      </w:pPr>
      <w:r w:rsidRPr="00605D9C">
        <w:rPr>
          <w:rFonts w:eastAsia="SimSun"/>
          <w:i/>
          <w:sz w:val="18"/>
          <w:szCs w:val="18"/>
          <w:lang w:eastAsia="zh-CN"/>
        </w:rPr>
        <w:t>Reduction of peak rate</w:t>
      </w:r>
    </w:p>
    <w:p w:rsidR="00605D9C" w:rsidRPr="00605D9C" w:rsidRDefault="00605D9C" w:rsidP="00605D9C">
      <w:pPr>
        <w:pStyle w:val="BodyText"/>
        <w:numPr>
          <w:ilvl w:val="0"/>
          <w:numId w:val="21"/>
        </w:numPr>
        <w:rPr>
          <w:rFonts w:eastAsia="SimSun"/>
          <w:i/>
          <w:sz w:val="18"/>
          <w:szCs w:val="18"/>
          <w:lang w:eastAsia="zh-CN"/>
        </w:rPr>
      </w:pPr>
      <w:r w:rsidRPr="00605D9C">
        <w:rPr>
          <w:rFonts w:eastAsia="SimSun"/>
          <w:i/>
          <w:sz w:val="18"/>
          <w:szCs w:val="18"/>
          <w:lang w:eastAsia="zh-CN"/>
        </w:rPr>
        <w:t>Reduction of transmit power</w:t>
      </w:r>
    </w:p>
    <w:p w:rsidR="00605D9C" w:rsidRPr="00605D9C" w:rsidRDefault="00605D9C" w:rsidP="00605D9C">
      <w:pPr>
        <w:pStyle w:val="BodyText"/>
        <w:numPr>
          <w:ilvl w:val="0"/>
          <w:numId w:val="21"/>
        </w:numPr>
        <w:rPr>
          <w:rFonts w:eastAsia="SimSun"/>
          <w:i/>
          <w:sz w:val="18"/>
          <w:szCs w:val="18"/>
          <w:lang w:eastAsia="zh-CN"/>
        </w:rPr>
      </w:pPr>
      <w:r w:rsidRPr="00605D9C">
        <w:rPr>
          <w:rFonts w:eastAsia="SimSun"/>
          <w:i/>
          <w:sz w:val="18"/>
          <w:szCs w:val="18"/>
          <w:lang w:eastAsia="zh-CN"/>
        </w:rPr>
        <w:t>Half duplex operation</w:t>
      </w:r>
    </w:p>
    <w:p w:rsidR="00923FC9" w:rsidRDefault="00605D9C" w:rsidP="009B33DD">
      <w:pPr>
        <w:pStyle w:val="BodyText"/>
        <w:rPr>
          <w:rFonts w:eastAsia="SimSun"/>
          <w:lang w:eastAsia="zh-CN"/>
        </w:rPr>
      </w:pPr>
      <w:r>
        <w:rPr>
          <w:rFonts w:eastAsia="SimSun"/>
          <w:lang w:eastAsia="zh-CN"/>
        </w:rPr>
        <w:t>This contribution provides our view and proposal for cost drivers and how they should be accounted for in cost analysis.</w:t>
      </w:r>
    </w:p>
    <w:p w:rsidR="00E114B7" w:rsidRDefault="00E114B7" w:rsidP="00E114B7">
      <w:pPr>
        <w:pStyle w:val="Heading1"/>
        <w:numPr>
          <w:ilvl w:val="0"/>
          <w:numId w:val="1"/>
        </w:numPr>
        <w:spacing w:after="120" w:line="276" w:lineRule="auto"/>
        <w:jc w:val="both"/>
        <w:rPr>
          <w:sz w:val="32"/>
        </w:rPr>
      </w:pPr>
      <w:bookmarkStart w:id="5" w:name="OLE_LINK9"/>
      <w:bookmarkStart w:id="6" w:name="OLE_LINK12"/>
      <w:bookmarkStart w:id="7" w:name="OLE_LINK31"/>
      <w:bookmarkStart w:id="8" w:name="OLE_LINK32"/>
      <w:r w:rsidRPr="00E114B7">
        <w:rPr>
          <w:bCs w:val="0"/>
          <w:sz w:val="32"/>
        </w:rPr>
        <w:t xml:space="preserve">Cost </w:t>
      </w:r>
      <w:r w:rsidR="005D58EC">
        <w:rPr>
          <w:bCs w:val="0"/>
          <w:sz w:val="32"/>
        </w:rPr>
        <w:t xml:space="preserve">Driver </w:t>
      </w:r>
      <w:r>
        <w:rPr>
          <w:bCs w:val="0"/>
          <w:sz w:val="32"/>
        </w:rPr>
        <w:t>Breakdown</w:t>
      </w:r>
      <w:r>
        <w:rPr>
          <w:b w:val="0"/>
          <w:bCs w:val="0"/>
          <w:sz w:val="32"/>
        </w:rPr>
        <w:t xml:space="preserve"> </w:t>
      </w:r>
    </w:p>
    <w:bookmarkEnd w:id="5"/>
    <w:bookmarkEnd w:id="6"/>
    <w:p w:rsidR="009A5C1B" w:rsidRDefault="00E4754F" w:rsidP="008C1C6C">
      <w:pPr>
        <w:pStyle w:val="BodyText"/>
      </w:pPr>
      <w:r>
        <w:t>Note</w:t>
      </w:r>
      <w:r w:rsidR="009A5C1B">
        <w:t xml:space="preserve"> the agreement of “</w:t>
      </w:r>
      <w:r w:rsidR="00296ED1">
        <w:rPr>
          <w:rFonts w:eastAsia="SimSun"/>
          <w:i/>
          <w:szCs w:val="20"/>
          <w:lang w:eastAsia="zh-CN"/>
        </w:rPr>
        <w:t>T</w:t>
      </w:r>
      <w:r w:rsidR="009A5C1B" w:rsidRPr="009A5C1B">
        <w:rPr>
          <w:rFonts w:eastAsia="SimSun"/>
          <w:i/>
          <w:szCs w:val="20"/>
          <w:lang w:eastAsia="zh-CN"/>
        </w:rPr>
        <w:t>he cost drivers are broadly categorized into two parts, RF components and processing, which may need different analysis methodology.</w:t>
      </w:r>
      <w:r w:rsidR="009A5C1B" w:rsidRPr="00923FC9">
        <w:rPr>
          <w:rFonts w:eastAsia="SimSun"/>
          <w:i/>
          <w:sz w:val="18"/>
          <w:szCs w:val="18"/>
          <w:lang w:eastAsia="zh-CN"/>
        </w:rPr>
        <w:t xml:space="preserve"> </w:t>
      </w:r>
      <w:r w:rsidR="009A5C1B" w:rsidRPr="009A5C1B">
        <w:rPr>
          <w:rFonts w:eastAsia="SimSun"/>
          <w:i/>
          <w:szCs w:val="20"/>
          <w:lang w:eastAsia="zh-CN"/>
        </w:rPr>
        <w:t>The ADC/DAC and L2/L3 protocol support are included within the processing category</w:t>
      </w:r>
      <w:r w:rsidR="009A5C1B">
        <w:rPr>
          <w:rFonts w:eastAsia="SimSun"/>
          <w:szCs w:val="20"/>
          <w:lang w:eastAsia="zh-CN"/>
        </w:rPr>
        <w:t>”</w:t>
      </w:r>
      <w:r w:rsidR="009A5C1B">
        <w:rPr>
          <w:rFonts w:eastAsia="SimSun"/>
          <w:i/>
          <w:sz w:val="18"/>
          <w:szCs w:val="18"/>
          <w:lang w:eastAsia="zh-CN"/>
        </w:rPr>
        <w:t xml:space="preserve">, </w:t>
      </w:r>
      <w:r w:rsidR="009A5C1B">
        <w:t xml:space="preserve">a cost driver breakdown along the line of RF and baseband is needed. </w:t>
      </w:r>
    </w:p>
    <w:p w:rsidR="009A5C1B" w:rsidRPr="009A5C1B" w:rsidRDefault="009A5C1B" w:rsidP="008C1C6C">
      <w:pPr>
        <w:pStyle w:val="BodyText"/>
        <w:rPr>
          <w:b/>
        </w:rPr>
      </w:pPr>
      <w:r>
        <w:rPr>
          <w:b/>
        </w:rPr>
        <w:t>Proposal:</w:t>
      </w:r>
    </w:p>
    <w:p w:rsidR="00151F3C" w:rsidRPr="00451D99" w:rsidRDefault="009A5C1B" w:rsidP="00E114B7">
      <w:pPr>
        <w:pStyle w:val="BodyText"/>
        <w:numPr>
          <w:ilvl w:val="0"/>
          <w:numId w:val="17"/>
        </w:numPr>
        <w:rPr>
          <w:b/>
        </w:rPr>
      </w:pPr>
      <w:r w:rsidRPr="00451D99">
        <w:rPr>
          <w:b/>
        </w:rPr>
        <w:t xml:space="preserve">Cost drivers breakdown </w:t>
      </w:r>
      <w:r w:rsidR="000D32FD" w:rsidRPr="00451D99">
        <w:rPr>
          <w:b/>
        </w:rPr>
        <w:t xml:space="preserve">should serve the purpose of </w:t>
      </w:r>
      <w:r w:rsidR="00296ED1">
        <w:rPr>
          <w:b/>
        </w:rPr>
        <w:t>conducting</w:t>
      </w:r>
      <w:r w:rsidR="00151F3C" w:rsidRPr="00451D99">
        <w:rPr>
          <w:b/>
        </w:rPr>
        <w:t xml:space="preserve"> </w:t>
      </w:r>
      <w:r w:rsidR="000D32FD" w:rsidRPr="00451D99">
        <w:rPr>
          <w:b/>
        </w:rPr>
        <w:t xml:space="preserve">a quantitative analysis of </w:t>
      </w:r>
      <w:r w:rsidR="00E4754F">
        <w:rPr>
          <w:b/>
        </w:rPr>
        <w:t xml:space="preserve">percentage </w:t>
      </w:r>
      <w:r w:rsidR="000D32FD" w:rsidRPr="00451D99">
        <w:rPr>
          <w:b/>
        </w:rPr>
        <w:t xml:space="preserve">cost </w:t>
      </w:r>
      <w:r w:rsidR="00296ED1">
        <w:rPr>
          <w:b/>
        </w:rPr>
        <w:t>saving</w:t>
      </w:r>
      <w:r w:rsidR="000D32FD" w:rsidRPr="00451D99">
        <w:rPr>
          <w:b/>
        </w:rPr>
        <w:t xml:space="preserve"> </w:t>
      </w:r>
      <w:r w:rsidR="00151F3C" w:rsidRPr="00451D99">
        <w:rPr>
          <w:b/>
        </w:rPr>
        <w:t xml:space="preserve">for </w:t>
      </w:r>
      <w:r w:rsidR="000D32FD" w:rsidRPr="00451D99">
        <w:rPr>
          <w:b/>
        </w:rPr>
        <w:t xml:space="preserve">different proposed techniques, so that </w:t>
      </w:r>
      <w:r w:rsidR="00151F3C" w:rsidRPr="00451D99">
        <w:rPr>
          <w:b/>
        </w:rPr>
        <w:t xml:space="preserve">the </w:t>
      </w:r>
      <w:r w:rsidR="00E4754F">
        <w:rPr>
          <w:b/>
        </w:rPr>
        <w:t>significance</w:t>
      </w:r>
      <w:r w:rsidR="00151F3C" w:rsidRPr="00451D99">
        <w:rPr>
          <w:b/>
        </w:rPr>
        <w:t xml:space="preserve"> of each technique can be </w:t>
      </w:r>
      <w:r w:rsidR="00296ED1">
        <w:rPr>
          <w:b/>
        </w:rPr>
        <w:t>understood</w:t>
      </w:r>
      <w:r w:rsidR="00151F3C" w:rsidRPr="00451D99">
        <w:rPr>
          <w:b/>
        </w:rPr>
        <w:t xml:space="preserve"> more clearly. </w:t>
      </w:r>
    </w:p>
    <w:p w:rsidR="00D0507F" w:rsidRPr="00D0507F" w:rsidRDefault="00D0507F" w:rsidP="009A5C1B">
      <w:pPr>
        <w:pStyle w:val="BodyText"/>
      </w:pPr>
      <w:bookmarkStart w:id="9" w:name="OLE_LINK21"/>
      <w:bookmarkStart w:id="10" w:name="OLE_LINK22"/>
      <w:bookmarkStart w:id="11" w:name="OLE_LINK52"/>
      <w:bookmarkStart w:id="12" w:name="OLE_LINK53"/>
      <w:r>
        <w:t>The cost drivers are being discussed in the email reflector. Our cost breakdown in comparison with others is captured in the table below:</w:t>
      </w:r>
    </w:p>
    <w:tbl>
      <w:tblPr>
        <w:tblW w:w="9864" w:type="dxa"/>
        <w:tblCellMar>
          <w:left w:w="0" w:type="dxa"/>
          <w:right w:w="0" w:type="dxa"/>
        </w:tblCellMar>
        <w:tblLook w:val="04A0"/>
      </w:tblPr>
      <w:tblGrid>
        <w:gridCol w:w="2013"/>
        <w:gridCol w:w="1155"/>
        <w:gridCol w:w="1091"/>
        <w:gridCol w:w="1519"/>
        <w:gridCol w:w="1710"/>
        <w:gridCol w:w="2376"/>
      </w:tblGrid>
      <w:tr w:rsidR="00DC7839" w:rsidTr="005C6710">
        <w:tc>
          <w:tcPr>
            <w:tcW w:w="201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rPr>
                <w:b/>
                <w:bCs/>
              </w:rPr>
              <w:t>Functional block</w:t>
            </w:r>
          </w:p>
        </w:tc>
        <w:tc>
          <w:tcPr>
            <w:tcW w:w="115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rPr>
                <w:b/>
                <w:bCs/>
              </w:rPr>
              <w:t>IPWireless</w:t>
            </w:r>
          </w:p>
        </w:tc>
        <w:tc>
          <w:tcPr>
            <w:tcW w:w="109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rPr>
                <w:b/>
                <w:bCs/>
              </w:rPr>
              <w:t>Huawei</w:t>
            </w:r>
          </w:p>
        </w:tc>
        <w:tc>
          <w:tcPr>
            <w:tcW w:w="1519" w:type="dxa"/>
            <w:tcBorders>
              <w:top w:val="single" w:sz="8" w:space="0" w:color="auto"/>
              <w:left w:val="nil"/>
              <w:bottom w:val="single" w:sz="8" w:space="0" w:color="auto"/>
              <w:right w:val="single" w:sz="4" w:space="0" w:color="auto"/>
            </w:tcBorders>
            <w:shd w:val="clear" w:color="auto" w:fill="D9D9D9"/>
          </w:tcPr>
          <w:p w:rsidR="00F05B5F" w:rsidRPr="00B95A2A" w:rsidRDefault="00F05B5F" w:rsidP="00F05B5F">
            <w:pPr>
              <w:autoSpaceDE w:val="0"/>
              <w:autoSpaceDN w:val="0"/>
              <w:snapToGrid w:val="0"/>
              <w:spacing w:line="360" w:lineRule="auto"/>
              <w:rPr>
                <w:b/>
                <w:bCs/>
                <w:color w:val="FF0000"/>
              </w:rPr>
            </w:pPr>
            <w:r>
              <w:rPr>
                <w:b/>
                <w:bCs/>
                <w:color w:val="FF0000"/>
              </w:rPr>
              <w:t>Proposed Breakdown</w:t>
            </w:r>
          </w:p>
        </w:tc>
        <w:tc>
          <w:tcPr>
            <w:tcW w:w="1710" w:type="dxa"/>
            <w:tcBorders>
              <w:top w:val="single" w:sz="8" w:space="0" w:color="auto"/>
              <w:left w:val="single" w:sz="4" w:space="0" w:color="auto"/>
              <w:bottom w:val="single" w:sz="8" w:space="0" w:color="auto"/>
              <w:right w:val="single" w:sz="4" w:space="0" w:color="auto"/>
            </w:tcBorders>
            <w:shd w:val="clear" w:color="auto" w:fill="D9D9D9"/>
          </w:tcPr>
          <w:p w:rsidR="00F05B5F" w:rsidRPr="00B95A2A" w:rsidRDefault="00F05B5F">
            <w:pPr>
              <w:autoSpaceDE w:val="0"/>
              <w:autoSpaceDN w:val="0"/>
              <w:snapToGrid w:val="0"/>
              <w:spacing w:line="360" w:lineRule="auto"/>
              <w:rPr>
                <w:b/>
                <w:bCs/>
                <w:color w:val="FF0000"/>
              </w:rPr>
            </w:pPr>
            <w:r>
              <w:rPr>
                <w:b/>
                <w:bCs/>
                <w:color w:val="FF0000"/>
              </w:rPr>
              <w:t>Me</w:t>
            </w:r>
            <w:r w:rsidRPr="00B95A2A">
              <w:rPr>
                <w:b/>
                <w:bCs/>
                <w:color w:val="FF0000"/>
              </w:rPr>
              <w:t>d</w:t>
            </w:r>
            <w:r>
              <w:rPr>
                <w:b/>
                <w:bCs/>
                <w:color w:val="FF0000"/>
              </w:rPr>
              <w:t>i</w:t>
            </w:r>
            <w:r w:rsidRPr="00B95A2A">
              <w:rPr>
                <w:b/>
                <w:bCs/>
                <w:color w:val="FF0000"/>
              </w:rPr>
              <w:t>aTek</w:t>
            </w:r>
          </w:p>
        </w:tc>
        <w:tc>
          <w:tcPr>
            <w:tcW w:w="2376"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hideMark/>
          </w:tcPr>
          <w:p w:rsidR="00F05B5F" w:rsidRDefault="00F05B5F">
            <w:pPr>
              <w:autoSpaceDE w:val="0"/>
              <w:autoSpaceDN w:val="0"/>
              <w:snapToGrid w:val="0"/>
              <w:spacing w:line="360" w:lineRule="auto"/>
              <w:rPr>
                <w:rFonts w:ascii="Calibri" w:eastAsiaTheme="minorEastAsia" w:hAnsi="Calibri"/>
                <w:sz w:val="22"/>
                <w:szCs w:val="22"/>
              </w:rPr>
            </w:pPr>
            <w:r>
              <w:rPr>
                <w:b/>
                <w:bCs/>
                <w:color w:val="1F497D"/>
              </w:rPr>
              <w:t>description</w:t>
            </w:r>
          </w:p>
        </w:tc>
      </w:tr>
      <w:tr w:rsidR="00DC7839" w:rsidTr="005C6710">
        <w:tc>
          <w:tcPr>
            <w:tcW w:w="20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05B5F" w:rsidRPr="00AD0D0B" w:rsidRDefault="00F05B5F" w:rsidP="008E128B">
            <w:pPr>
              <w:autoSpaceDE w:val="0"/>
              <w:autoSpaceDN w:val="0"/>
              <w:snapToGrid w:val="0"/>
              <w:rPr>
                <w:rFonts w:ascii="Calibri" w:eastAsiaTheme="minorEastAsia" w:hAnsi="Calibri"/>
                <w:sz w:val="22"/>
                <w:szCs w:val="22"/>
              </w:rPr>
            </w:pPr>
            <w:r w:rsidRPr="00AD0D0B">
              <w:t>Ratio of RF to baseband cost</w:t>
            </w:r>
          </w:p>
        </w:tc>
        <w:tc>
          <w:tcPr>
            <w:tcW w:w="11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40:60</w:t>
            </w:r>
          </w:p>
        </w:tc>
        <w:tc>
          <w:tcPr>
            <w:tcW w:w="10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40:60</w:t>
            </w:r>
          </w:p>
        </w:tc>
        <w:tc>
          <w:tcPr>
            <w:tcW w:w="1519" w:type="dxa"/>
            <w:tcBorders>
              <w:top w:val="nil"/>
              <w:left w:val="nil"/>
              <w:bottom w:val="single" w:sz="8" w:space="0" w:color="auto"/>
              <w:right w:val="single" w:sz="4" w:space="0" w:color="auto"/>
            </w:tcBorders>
            <w:shd w:val="clear" w:color="auto" w:fill="FFFFFF"/>
          </w:tcPr>
          <w:p w:rsidR="00F05B5F" w:rsidRPr="00AD0D0B" w:rsidRDefault="008E128B">
            <w:pPr>
              <w:rPr>
                <w:rFonts w:eastAsia="Times New Roman"/>
                <w:color w:val="365F91" w:themeColor="accent1" w:themeShade="BF"/>
                <w:szCs w:val="20"/>
              </w:rPr>
            </w:pPr>
            <w:r w:rsidRPr="00AD0D0B">
              <w:rPr>
                <w:rFonts w:eastAsia="Times New Roman"/>
                <w:color w:val="365F91" w:themeColor="accent1" w:themeShade="BF"/>
                <w:szCs w:val="20"/>
              </w:rPr>
              <w:t>S</w:t>
            </w:r>
            <w:r w:rsidR="005C6710" w:rsidRPr="00AD0D0B">
              <w:rPr>
                <w:rFonts w:eastAsia="Times New Roman"/>
                <w:color w:val="365F91" w:themeColor="accent1" w:themeShade="BF"/>
                <w:szCs w:val="20"/>
              </w:rPr>
              <w:t>ame</w:t>
            </w:r>
            <w:r>
              <w:rPr>
                <w:rFonts w:eastAsia="Times New Roman"/>
                <w:color w:val="365F91" w:themeColor="accent1" w:themeShade="BF"/>
                <w:szCs w:val="20"/>
              </w:rPr>
              <w:t xml:space="preserve"> term</w:t>
            </w:r>
          </w:p>
        </w:tc>
        <w:tc>
          <w:tcPr>
            <w:tcW w:w="1710" w:type="dxa"/>
            <w:tcBorders>
              <w:top w:val="nil"/>
              <w:left w:val="single" w:sz="4" w:space="0" w:color="auto"/>
              <w:bottom w:val="single" w:sz="8" w:space="0" w:color="auto"/>
              <w:right w:val="single" w:sz="4" w:space="0" w:color="auto"/>
            </w:tcBorders>
            <w:shd w:val="clear" w:color="auto" w:fill="FFFFFF"/>
          </w:tcPr>
          <w:p w:rsidR="00F05B5F" w:rsidRPr="00B95A2A" w:rsidRDefault="00F05B5F">
            <w:pPr>
              <w:rPr>
                <w:rFonts w:eastAsia="Times New Roman"/>
                <w:color w:val="FF0000"/>
                <w:szCs w:val="20"/>
              </w:rPr>
            </w:pPr>
            <w:r w:rsidRPr="00B95A2A">
              <w:rPr>
                <w:rFonts w:eastAsia="Times New Roman"/>
                <w:color w:val="FF0000"/>
                <w:szCs w:val="20"/>
              </w:rPr>
              <w:t>40:60</w:t>
            </w:r>
          </w:p>
        </w:tc>
        <w:tc>
          <w:tcPr>
            <w:tcW w:w="2376"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F05B5F" w:rsidRDefault="00F05B5F">
            <w:pPr>
              <w:rPr>
                <w:rFonts w:eastAsia="Times New Roman"/>
                <w:szCs w:val="20"/>
              </w:rPr>
            </w:pPr>
          </w:p>
        </w:tc>
      </w:tr>
      <w:tr w:rsidR="00F05B5F" w:rsidTr="005F38B3">
        <w:tc>
          <w:tcPr>
            <w:tcW w:w="9864" w:type="dxa"/>
            <w:gridSpan w:val="6"/>
            <w:tcBorders>
              <w:top w:val="nil"/>
              <w:left w:val="single" w:sz="8" w:space="0" w:color="auto"/>
              <w:bottom w:val="single" w:sz="8" w:space="0" w:color="auto"/>
              <w:right w:val="single" w:sz="4" w:space="0" w:color="auto"/>
            </w:tcBorders>
            <w:shd w:val="clear" w:color="auto" w:fill="FFFFCC"/>
          </w:tcPr>
          <w:p w:rsidR="00F05B5F" w:rsidRPr="00AD0D0B" w:rsidRDefault="00F05B5F" w:rsidP="008E128B">
            <w:pPr>
              <w:autoSpaceDE w:val="0"/>
              <w:autoSpaceDN w:val="0"/>
              <w:snapToGrid w:val="0"/>
              <w:rPr>
                <w:rFonts w:ascii="Calibri" w:eastAsiaTheme="minorEastAsia" w:hAnsi="Calibri"/>
                <w:sz w:val="22"/>
                <w:szCs w:val="22"/>
              </w:rPr>
            </w:pPr>
            <w:r w:rsidRPr="00AD0D0B">
              <w:rPr>
                <w:b/>
                <w:bCs/>
              </w:rPr>
              <w:t>RF</w:t>
            </w:r>
          </w:p>
        </w:tc>
      </w:tr>
      <w:tr w:rsidR="00DC7839" w:rsidTr="005C6710">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B5F" w:rsidRPr="00AD0D0B" w:rsidRDefault="00F05B5F" w:rsidP="008E128B">
            <w:pPr>
              <w:autoSpaceDE w:val="0"/>
              <w:autoSpaceDN w:val="0"/>
              <w:snapToGrid w:val="0"/>
              <w:rPr>
                <w:rFonts w:ascii="Calibri" w:eastAsiaTheme="minorEastAsia" w:hAnsi="Calibri"/>
                <w:sz w:val="22"/>
                <w:szCs w:val="22"/>
              </w:rPr>
            </w:pPr>
            <w:r w:rsidRPr="00AD0D0B">
              <w:lastRenderedPageBreak/>
              <w:t>Power amplifier</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25%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25%</w:t>
            </w:r>
          </w:p>
        </w:tc>
        <w:tc>
          <w:tcPr>
            <w:tcW w:w="1519" w:type="dxa"/>
            <w:tcBorders>
              <w:top w:val="nil"/>
              <w:left w:val="nil"/>
              <w:bottom w:val="single" w:sz="8" w:space="0" w:color="auto"/>
              <w:right w:val="single" w:sz="4" w:space="0" w:color="auto"/>
            </w:tcBorders>
          </w:tcPr>
          <w:p w:rsidR="00F05B5F" w:rsidRPr="00AD0D0B" w:rsidRDefault="005C6710">
            <w:pPr>
              <w:rPr>
                <w:rFonts w:eastAsia="Times New Roman"/>
                <w:color w:val="365F91" w:themeColor="accent1" w:themeShade="BF"/>
                <w:szCs w:val="20"/>
              </w:rPr>
            </w:pPr>
            <w:r w:rsidRPr="00AD0D0B">
              <w:rPr>
                <w:rFonts w:eastAsia="Times New Roman"/>
                <w:color w:val="365F91" w:themeColor="accent1" w:themeShade="BF"/>
                <w:szCs w:val="20"/>
              </w:rPr>
              <w:t>same</w:t>
            </w:r>
            <w:r w:rsidR="008E128B">
              <w:rPr>
                <w:rFonts w:eastAsia="Times New Roman"/>
                <w:color w:val="365F91" w:themeColor="accent1" w:themeShade="BF"/>
                <w:szCs w:val="20"/>
              </w:rPr>
              <w:t xml:space="preserve"> term</w:t>
            </w:r>
          </w:p>
        </w:tc>
        <w:tc>
          <w:tcPr>
            <w:tcW w:w="1710" w:type="dxa"/>
            <w:tcBorders>
              <w:top w:val="nil"/>
              <w:left w:val="single" w:sz="4" w:space="0" w:color="auto"/>
              <w:bottom w:val="single" w:sz="8" w:space="0" w:color="auto"/>
              <w:right w:val="single" w:sz="4" w:space="0" w:color="auto"/>
            </w:tcBorders>
          </w:tcPr>
          <w:p w:rsidR="00F05B5F" w:rsidRPr="00AD0D0B" w:rsidRDefault="00F05B5F">
            <w:pPr>
              <w:rPr>
                <w:rFonts w:eastAsia="Times New Roman"/>
                <w:color w:val="365F91" w:themeColor="accent1" w:themeShade="BF"/>
                <w:szCs w:val="20"/>
              </w:rPr>
            </w:pPr>
            <w:r w:rsidRPr="00AD0D0B">
              <w:rPr>
                <w:rFonts w:eastAsia="Times New Roman"/>
                <w:color w:val="365F91" w:themeColor="accent1" w:themeShade="BF"/>
                <w:szCs w:val="20"/>
              </w:rPr>
              <w:t>25-30%</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05B5F" w:rsidRPr="00010B84" w:rsidRDefault="00F05B5F" w:rsidP="006C2264">
            <w:pPr>
              <w:rPr>
                <w:rFonts w:eastAsia="Times New Roman"/>
                <w:sz w:val="18"/>
                <w:szCs w:val="18"/>
              </w:rPr>
            </w:pPr>
          </w:p>
        </w:tc>
      </w:tr>
      <w:tr w:rsidR="00DC7839" w:rsidTr="005C6710">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B5F" w:rsidRPr="00AD0D0B" w:rsidRDefault="00F05B5F" w:rsidP="008E128B">
            <w:pPr>
              <w:autoSpaceDE w:val="0"/>
              <w:autoSpaceDN w:val="0"/>
              <w:snapToGrid w:val="0"/>
              <w:rPr>
                <w:rFonts w:ascii="Calibri" w:eastAsiaTheme="minorEastAsia" w:hAnsi="Calibri"/>
                <w:sz w:val="22"/>
                <w:szCs w:val="22"/>
              </w:rPr>
            </w:pPr>
            <w:r w:rsidRPr="00AD0D0B">
              <w:t>Filters</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10%</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10%</w:t>
            </w:r>
          </w:p>
        </w:tc>
        <w:tc>
          <w:tcPr>
            <w:tcW w:w="1519" w:type="dxa"/>
            <w:tcBorders>
              <w:top w:val="nil"/>
              <w:left w:val="nil"/>
              <w:bottom w:val="single" w:sz="8" w:space="0" w:color="auto"/>
              <w:right w:val="single" w:sz="4" w:space="0" w:color="auto"/>
            </w:tcBorders>
          </w:tcPr>
          <w:p w:rsidR="00F05B5F" w:rsidRPr="00AD0D0B" w:rsidRDefault="005C6710">
            <w:pPr>
              <w:rPr>
                <w:rFonts w:eastAsia="Times New Roman"/>
                <w:color w:val="365F91" w:themeColor="accent1" w:themeShade="BF"/>
                <w:szCs w:val="20"/>
              </w:rPr>
            </w:pPr>
            <w:r w:rsidRPr="00AD0D0B">
              <w:rPr>
                <w:rFonts w:eastAsia="Times New Roman"/>
                <w:color w:val="365F91" w:themeColor="accent1" w:themeShade="BF"/>
                <w:szCs w:val="20"/>
              </w:rPr>
              <w:t>same</w:t>
            </w:r>
            <w:r w:rsidR="008E128B">
              <w:rPr>
                <w:rFonts w:eastAsia="Times New Roman"/>
                <w:color w:val="365F91" w:themeColor="accent1" w:themeShade="BF"/>
                <w:szCs w:val="20"/>
              </w:rPr>
              <w:t xml:space="preserve"> term</w:t>
            </w:r>
          </w:p>
        </w:tc>
        <w:tc>
          <w:tcPr>
            <w:tcW w:w="1710" w:type="dxa"/>
            <w:tcBorders>
              <w:top w:val="nil"/>
              <w:left w:val="single" w:sz="4" w:space="0" w:color="auto"/>
              <w:bottom w:val="single" w:sz="8" w:space="0" w:color="auto"/>
              <w:right w:val="single" w:sz="4" w:space="0" w:color="auto"/>
            </w:tcBorders>
          </w:tcPr>
          <w:p w:rsidR="00F05B5F" w:rsidRPr="00AD0D0B" w:rsidRDefault="00F05B5F">
            <w:pPr>
              <w:rPr>
                <w:rFonts w:eastAsia="Times New Roman"/>
                <w:color w:val="365F91" w:themeColor="accent1" w:themeShade="BF"/>
                <w:szCs w:val="20"/>
              </w:rPr>
            </w:pPr>
            <w:r w:rsidRPr="00AD0D0B">
              <w:rPr>
                <w:rFonts w:eastAsia="Times New Roman"/>
                <w:color w:val="365F91" w:themeColor="accent1" w:themeShade="BF"/>
                <w:szCs w:val="20"/>
              </w:rPr>
              <w:t>5-10%</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05B5F" w:rsidRPr="00010B84" w:rsidRDefault="00F05B5F" w:rsidP="006C2264">
            <w:pPr>
              <w:rPr>
                <w:rFonts w:eastAsia="Times New Roman"/>
                <w:sz w:val="18"/>
                <w:szCs w:val="18"/>
              </w:rPr>
            </w:pPr>
          </w:p>
        </w:tc>
      </w:tr>
      <w:tr w:rsidR="00DC7839" w:rsidTr="005C6710">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B5F" w:rsidRPr="00AD0D0B" w:rsidRDefault="00F05B5F" w:rsidP="008E128B">
            <w:pPr>
              <w:autoSpaceDE w:val="0"/>
              <w:autoSpaceDN w:val="0"/>
              <w:snapToGrid w:val="0"/>
              <w:rPr>
                <w:rFonts w:ascii="Calibri" w:eastAsiaTheme="minorEastAsia" w:hAnsi="Calibri"/>
                <w:sz w:val="22"/>
                <w:szCs w:val="22"/>
              </w:rPr>
            </w:pPr>
            <w:r w:rsidRPr="00AD0D0B">
              <w:t>RF chains (LNAs, demodulators etc.)</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40%</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45%</w:t>
            </w:r>
          </w:p>
        </w:tc>
        <w:tc>
          <w:tcPr>
            <w:tcW w:w="1519" w:type="dxa"/>
            <w:tcBorders>
              <w:top w:val="nil"/>
              <w:left w:val="nil"/>
              <w:bottom w:val="single" w:sz="8" w:space="0" w:color="auto"/>
              <w:right w:val="single" w:sz="4" w:space="0" w:color="auto"/>
            </w:tcBorders>
          </w:tcPr>
          <w:p w:rsidR="00F05B5F" w:rsidRPr="00AD0D0B" w:rsidRDefault="00F05B5F">
            <w:pPr>
              <w:autoSpaceDE w:val="0"/>
              <w:autoSpaceDN w:val="0"/>
              <w:snapToGrid w:val="0"/>
              <w:spacing w:line="360" w:lineRule="auto"/>
              <w:rPr>
                <w:color w:val="FF0000"/>
              </w:rPr>
            </w:pPr>
            <w:r w:rsidRPr="00AD0D0B">
              <w:rPr>
                <w:color w:val="FF0000"/>
              </w:rPr>
              <w:t>RF transceiver</w:t>
            </w:r>
          </w:p>
        </w:tc>
        <w:tc>
          <w:tcPr>
            <w:tcW w:w="1710" w:type="dxa"/>
            <w:tcBorders>
              <w:top w:val="nil"/>
              <w:left w:val="single" w:sz="4" w:space="0" w:color="auto"/>
              <w:bottom w:val="single" w:sz="8" w:space="0" w:color="auto"/>
              <w:right w:val="single" w:sz="4" w:space="0" w:color="auto"/>
            </w:tcBorders>
          </w:tcPr>
          <w:p w:rsidR="00F05B5F" w:rsidRPr="00AD0D0B" w:rsidRDefault="00F05B5F">
            <w:pPr>
              <w:autoSpaceDE w:val="0"/>
              <w:autoSpaceDN w:val="0"/>
              <w:snapToGrid w:val="0"/>
              <w:spacing w:line="360" w:lineRule="auto"/>
              <w:rPr>
                <w:color w:val="365F91" w:themeColor="accent1" w:themeShade="BF"/>
              </w:rPr>
            </w:pPr>
            <w:r w:rsidRPr="00AD0D0B">
              <w:rPr>
                <w:color w:val="365F91" w:themeColor="accent1" w:themeShade="BF"/>
              </w:rPr>
              <w:t>~50%</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05B5F" w:rsidRPr="00745CF0" w:rsidRDefault="00F05B5F" w:rsidP="00AD0D0B">
            <w:pPr>
              <w:autoSpaceDE w:val="0"/>
              <w:autoSpaceDN w:val="0"/>
              <w:snapToGrid w:val="0"/>
              <w:rPr>
                <w:rFonts w:ascii="Calibri" w:eastAsiaTheme="minorEastAsia" w:hAnsi="Calibri"/>
                <w:color w:val="365F91" w:themeColor="accent1" w:themeShade="BF"/>
                <w:sz w:val="18"/>
                <w:szCs w:val="18"/>
              </w:rPr>
            </w:pPr>
            <w:r w:rsidRPr="00745CF0">
              <w:rPr>
                <w:color w:val="365F91" w:themeColor="accent1" w:themeShade="BF"/>
                <w:sz w:val="18"/>
                <w:szCs w:val="18"/>
              </w:rPr>
              <w:t>“RF transceiver” is a more commonly used term that including LNAs, mixer, and local oscillator.</w:t>
            </w:r>
          </w:p>
        </w:tc>
      </w:tr>
      <w:tr w:rsidR="00DC7839" w:rsidTr="005C6710">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B5F" w:rsidRPr="00AD0D0B" w:rsidRDefault="00F05B5F" w:rsidP="008E128B">
            <w:pPr>
              <w:autoSpaceDE w:val="0"/>
              <w:autoSpaceDN w:val="0"/>
              <w:snapToGrid w:val="0"/>
              <w:rPr>
                <w:rFonts w:ascii="Calibri" w:eastAsiaTheme="minorEastAsia" w:hAnsi="Calibri"/>
                <w:sz w:val="22"/>
                <w:szCs w:val="22"/>
              </w:rPr>
            </w:pPr>
            <w:r w:rsidRPr="00AD0D0B">
              <w:t>Duplexer</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25%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20%</w:t>
            </w:r>
          </w:p>
        </w:tc>
        <w:tc>
          <w:tcPr>
            <w:tcW w:w="1519" w:type="dxa"/>
            <w:tcBorders>
              <w:top w:val="nil"/>
              <w:left w:val="nil"/>
              <w:bottom w:val="single" w:sz="8" w:space="0" w:color="auto"/>
              <w:right w:val="single" w:sz="4" w:space="0" w:color="auto"/>
            </w:tcBorders>
          </w:tcPr>
          <w:p w:rsidR="00F05B5F" w:rsidRDefault="005C6710">
            <w:pPr>
              <w:autoSpaceDE w:val="0"/>
              <w:autoSpaceDN w:val="0"/>
              <w:snapToGrid w:val="0"/>
              <w:spacing w:line="360" w:lineRule="auto"/>
              <w:rPr>
                <w:color w:val="1F497D"/>
              </w:rPr>
            </w:pPr>
            <w:r>
              <w:rPr>
                <w:color w:val="1F497D"/>
              </w:rPr>
              <w:t>same</w:t>
            </w:r>
            <w:r w:rsidR="008E128B">
              <w:rPr>
                <w:rFonts w:eastAsia="Times New Roman"/>
                <w:color w:val="365F91" w:themeColor="accent1" w:themeShade="BF"/>
                <w:szCs w:val="20"/>
              </w:rPr>
              <w:t xml:space="preserve"> term</w:t>
            </w:r>
          </w:p>
        </w:tc>
        <w:tc>
          <w:tcPr>
            <w:tcW w:w="1710" w:type="dxa"/>
            <w:tcBorders>
              <w:top w:val="nil"/>
              <w:left w:val="single" w:sz="4" w:space="0" w:color="auto"/>
              <w:bottom w:val="single" w:sz="8" w:space="0" w:color="auto"/>
              <w:right w:val="single" w:sz="4" w:space="0" w:color="auto"/>
            </w:tcBorders>
          </w:tcPr>
          <w:p w:rsidR="00F05B5F" w:rsidRPr="00AD0D0B" w:rsidRDefault="00F05B5F">
            <w:pPr>
              <w:autoSpaceDE w:val="0"/>
              <w:autoSpaceDN w:val="0"/>
              <w:snapToGrid w:val="0"/>
              <w:spacing w:line="360" w:lineRule="auto"/>
              <w:rPr>
                <w:color w:val="365F91" w:themeColor="accent1" w:themeShade="BF"/>
              </w:rPr>
            </w:pPr>
            <w:r w:rsidRPr="00AD0D0B">
              <w:rPr>
                <w:color w:val="365F91" w:themeColor="accent1" w:themeShade="BF"/>
              </w:rPr>
              <w:t>15-20%</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05B5F" w:rsidRPr="00010B84" w:rsidRDefault="00F05B5F" w:rsidP="006C2264">
            <w:pPr>
              <w:autoSpaceDE w:val="0"/>
              <w:autoSpaceDN w:val="0"/>
              <w:snapToGrid w:val="0"/>
              <w:rPr>
                <w:rFonts w:ascii="Calibri" w:eastAsiaTheme="minorEastAsia" w:hAnsi="Calibri"/>
                <w:sz w:val="18"/>
                <w:szCs w:val="18"/>
              </w:rPr>
            </w:pPr>
          </w:p>
        </w:tc>
      </w:tr>
      <w:tr w:rsidR="00DC7839" w:rsidTr="005C6710">
        <w:tc>
          <w:tcPr>
            <w:tcW w:w="2013" w:type="dxa"/>
            <w:tcBorders>
              <w:top w:val="nil"/>
              <w:left w:val="single" w:sz="8" w:space="0" w:color="auto"/>
              <w:bottom w:val="single" w:sz="18" w:space="0" w:color="auto"/>
              <w:right w:val="single" w:sz="8" w:space="0" w:color="auto"/>
            </w:tcBorders>
            <w:tcMar>
              <w:top w:w="0" w:type="dxa"/>
              <w:left w:w="108" w:type="dxa"/>
              <w:bottom w:w="0" w:type="dxa"/>
              <w:right w:w="108" w:type="dxa"/>
            </w:tcMar>
            <w:hideMark/>
          </w:tcPr>
          <w:p w:rsidR="00F05B5F" w:rsidRPr="00AD0D0B" w:rsidRDefault="00F05B5F" w:rsidP="008E128B">
            <w:pPr>
              <w:autoSpaceDE w:val="0"/>
              <w:autoSpaceDN w:val="0"/>
              <w:snapToGrid w:val="0"/>
              <w:rPr>
                <w:rFonts w:ascii="Calibri" w:eastAsiaTheme="minorEastAsia" w:hAnsi="Calibri"/>
                <w:sz w:val="22"/>
                <w:szCs w:val="22"/>
              </w:rPr>
            </w:pPr>
            <w:r w:rsidRPr="00AD0D0B">
              <w:t>Other</w:t>
            </w:r>
          </w:p>
        </w:tc>
        <w:tc>
          <w:tcPr>
            <w:tcW w:w="1155" w:type="dxa"/>
            <w:tcBorders>
              <w:top w:val="nil"/>
              <w:left w:val="nil"/>
              <w:bottom w:val="single" w:sz="1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~0%</w:t>
            </w:r>
          </w:p>
        </w:tc>
        <w:tc>
          <w:tcPr>
            <w:tcW w:w="1091" w:type="dxa"/>
            <w:tcBorders>
              <w:top w:val="nil"/>
              <w:left w:val="nil"/>
              <w:bottom w:val="single" w:sz="1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~0%</w:t>
            </w:r>
          </w:p>
        </w:tc>
        <w:tc>
          <w:tcPr>
            <w:tcW w:w="1519" w:type="dxa"/>
            <w:tcBorders>
              <w:top w:val="nil"/>
              <w:left w:val="nil"/>
              <w:bottom w:val="single" w:sz="18" w:space="0" w:color="auto"/>
              <w:right w:val="single" w:sz="4" w:space="0" w:color="auto"/>
            </w:tcBorders>
          </w:tcPr>
          <w:p w:rsidR="00F05B5F" w:rsidRPr="00AD0D0B" w:rsidRDefault="005C6710">
            <w:pPr>
              <w:rPr>
                <w:rFonts w:eastAsia="Times New Roman"/>
                <w:color w:val="365F91" w:themeColor="accent1" w:themeShade="BF"/>
                <w:szCs w:val="20"/>
              </w:rPr>
            </w:pPr>
            <w:r w:rsidRPr="00AD0D0B">
              <w:rPr>
                <w:rFonts w:eastAsia="Times New Roman"/>
                <w:color w:val="365F91" w:themeColor="accent1" w:themeShade="BF"/>
                <w:szCs w:val="20"/>
              </w:rPr>
              <w:t>same</w:t>
            </w:r>
            <w:r w:rsidR="008E128B">
              <w:rPr>
                <w:rFonts w:eastAsia="Times New Roman"/>
                <w:color w:val="365F91" w:themeColor="accent1" w:themeShade="BF"/>
                <w:szCs w:val="20"/>
              </w:rPr>
              <w:t xml:space="preserve"> term</w:t>
            </w:r>
          </w:p>
        </w:tc>
        <w:tc>
          <w:tcPr>
            <w:tcW w:w="1710" w:type="dxa"/>
            <w:tcBorders>
              <w:top w:val="nil"/>
              <w:left w:val="single" w:sz="4" w:space="0" w:color="auto"/>
              <w:bottom w:val="single" w:sz="18" w:space="0" w:color="auto"/>
              <w:right w:val="single" w:sz="4" w:space="0" w:color="auto"/>
            </w:tcBorders>
          </w:tcPr>
          <w:p w:rsidR="00F05B5F" w:rsidRPr="00AD0D0B" w:rsidRDefault="00F05B5F">
            <w:pPr>
              <w:rPr>
                <w:rFonts w:eastAsia="Times New Roman"/>
                <w:color w:val="365F91" w:themeColor="accent1" w:themeShade="BF"/>
                <w:szCs w:val="20"/>
              </w:rPr>
            </w:pPr>
          </w:p>
        </w:tc>
        <w:tc>
          <w:tcPr>
            <w:tcW w:w="2376" w:type="dxa"/>
            <w:tcBorders>
              <w:top w:val="nil"/>
              <w:left w:val="single" w:sz="4" w:space="0" w:color="auto"/>
              <w:bottom w:val="single" w:sz="18" w:space="0" w:color="auto"/>
              <w:right w:val="single" w:sz="8" w:space="0" w:color="auto"/>
            </w:tcBorders>
            <w:tcMar>
              <w:top w:w="0" w:type="dxa"/>
              <w:left w:w="108" w:type="dxa"/>
              <w:bottom w:w="0" w:type="dxa"/>
              <w:right w:w="108" w:type="dxa"/>
            </w:tcMar>
            <w:hideMark/>
          </w:tcPr>
          <w:p w:rsidR="00F05B5F" w:rsidRPr="00010B84" w:rsidRDefault="00F05B5F" w:rsidP="00AD0D0B">
            <w:pPr>
              <w:rPr>
                <w:rFonts w:eastAsia="Times New Roman"/>
                <w:sz w:val="18"/>
                <w:szCs w:val="18"/>
              </w:rPr>
            </w:pPr>
          </w:p>
        </w:tc>
      </w:tr>
      <w:tr w:rsidR="00DC7839" w:rsidTr="005C6710">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B5F" w:rsidRPr="00AD0D0B" w:rsidRDefault="00F05B5F" w:rsidP="008E128B">
            <w:pPr>
              <w:autoSpaceDE w:val="0"/>
              <w:autoSpaceDN w:val="0"/>
              <w:snapToGrid w:val="0"/>
              <w:rPr>
                <w:rFonts w:ascii="Calibri" w:eastAsiaTheme="minorEastAsia" w:hAnsi="Calibri"/>
                <w:sz w:val="22"/>
                <w:szCs w:val="22"/>
              </w:rPr>
            </w:pPr>
            <w:r w:rsidRPr="00AD0D0B">
              <w:t>Total</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100%</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100%</w:t>
            </w:r>
          </w:p>
        </w:tc>
        <w:tc>
          <w:tcPr>
            <w:tcW w:w="1519" w:type="dxa"/>
            <w:tcBorders>
              <w:top w:val="nil"/>
              <w:left w:val="nil"/>
              <w:bottom w:val="single" w:sz="8" w:space="0" w:color="auto"/>
              <w:right w:val="single" w:sz="4" w:space="0" w:color="auto"/>
            </w:tcBorders>
          </w:tcPr>
          <w:p w:rsidR="00F05B5F" w:rsidRDefault="00F05B5F">
            <w:pPr>
              <w:rPr>
                <w:rFonts w:eastAsia="Times New Roman"/>
                <w:szCs w:val="20"/>
              </w:rPr>
            </w:pPr>
          </w:p>
        </w:tc>
        <w:tc>
          <w:tcPr>
            <w:tcW w:w="1710" w:type="dxa"/>
            <w:tcBorders>
              <w:top w:val="nil"/>
              <w:left w:val="single" w:sz="4" w:space="0" w:color="auto"/>
              <w:bottom w:val="single" w:sz="8" w:space="0" w:color="auto"/>
              <w:right w:val="single" w:sz="4" w:space="0" w:color="auto"/>
            </w:tcBorders>
          </w:tcPr>
          <w:p w:rsidR="00F05B5F" w:rsidRPr="00AD0D0B" w:rsidRDefault="008E128B">
            <w:pPr>
              <w:rPr>
                <w:rFonts w:eastAsia="Times New Roman"/>
                <w:color w:val="365F91" w:themeColor="accent1" w:themeShade="BF"/>
                <w:szCs w:val="20"/>
              </w:rPr>
            </w:pPr>
            <w:r>
              <w:rPr>
                <w:rFonts w:eastAsia="Times New Roman"/>
                <w:color w:val="365F91" w:themeColor="accent1" w:themeShade="BF"/>
                <w:szCs w:val="20"/>
              </w:rPr>
              <w:t>95%~110</w:t>
            </w:r>
            <w:r w:rsidR="00F05B5F" w:rsidRPr="00AD0D0B">
              <w:rPr>
                <w:rFonts w:eastAsia="Times New Roman"/>
                <w:color w:val="365F91" w:themeColor="accent1" w:themeShade="BF"/>
                <w:szCs w:val="20"/>
              </w:rPr>
              <w:t>%</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05B5F" w:rsidRDefault="00F05B5F">
            <w:pPr>
              <w:rPr>
                <w:rFonts w:eastAsia="Times New Roman"/>
                <w:szCs w:val="20"/>
              </w:rPr>
            </w:pPr>
          </w:p>
        </w:tc>
      </w:tr>
      <w:tr w:rsidR="00F05B5F" w:rsidTr="004404E4">
        <w:tc>
          <w:tcPr>
            <w:tcW w:w="9864" w:type="dxa"/>
            <w:gridSpan w:val="6"/>
            <w:tcBorders>
              <w:top w:val="nil"/>
              <w:left w:val="single" w:sz="8" w:space="0" w:color="auto"/>
              <w:bottom w:val="single" w:sz="8" w:space="0" w:color="auto"/>
              <w:right w:val="single" w:sz="4" w:space="0" w:color="auto"/>
            </w:tcBorders>
            <w:shd w:val="clear" w:color="auto" w:fill="FFFFCC"/>
          </w:tcPr>
          <w:p w:rsidR="00F05B5F" w:rsidRPr="00AD0D0B" w:rsidRDefault="00F05B5F" w:rsidP="008E128B">
            <w:pPr>
              <w:autoSpaceDE w:val="0"/>
              <w:autoSpaceDN w:val="0"/>
              <w:snapToGrid w:val="0"/>
              <w:rPr>
                <w:rFonts w:ascii="Calibri" w:eastAsiaTheme="minorEastAsia" w:hAnsi="Calibri"/>
                <w:sz w:val="22"/>
                <w:szCs w:val="22"/>
              </w:rPr>
            </w:pPr>
            <w:r w:rsidRPr="00AD0D0B">
              <w:rPr>
                <w:b/>
                <w:bCs/>
              </w:rPr>
              <w:t>Baseband processing</w:t>
            </w:r>
          </w:p>
        </w:tc>
      </w:tr>
      <w:tr w:rsidR="00DC7839" w:rsidTr="005C6710">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B5F" w:rsidRPr="00AD0D0B" w:rsidRDefault="00F05B5F" w:rsidP="008E128B">
            <w:pPr>
              <w:autoSpaceDE w:val="0"/>
              <w:autoSpaceDN w:val="0"/>
              <w:snapToGrid w:val="0"/>
              <w:rPr>
                <w:rFonts w:ascii="Calibri" w:eastAsiaTheme="minorEastAsia" w:hAnsi="Calibri"/>
                <w:sz w:val="22"/>
                <w:szCs w:val="22"/>
              </w:rPr>
            </w:pPr>
            <w:r w:rsidRPr="00AD0D0B">
              <w:t>ADC / DAC</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rsidP="009A67AB">
            <w:pPr>
              <w:autoSpaceDE w:val="0"/>
              <w:autoSpaceDN w:val="0"/>
              <w:snapToGrid w:val="0"/>
              <w:spacing w:line="360" w:lineRule="auto"/>
              <w:rPr>
                <w:rFonts w:ascii="Calibri" w:eastAsiaTheme="minorEastAsia" w:hAnsi="Calibri"/>
                <w:sz w:val="22"/>
                <w:szCs w:val="22"/>
              </w:rPr>
            </w:pPr>
            <w:r w:rsidRPr="00AD0D0B">
              <w:t>10%</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rsidP="009A67AB">
            <w:pPr>
              <w:autoSpaceDE w:val="0"/>
              <w:autoSpaceDN w:val="0"/>
              <w:snapToGrid w:val="0"/>
              <w:spacing w:line="360" w:lineRule="auto"/>
              <w:rPr>
                <w:rFonts w:ascii="Calibri" w:eastAsiaTheme="minorEastAsia" w:hAnsi="Calibri"/>
                <w:sz w:val="22"/>
                <w:szCs w:val="22"/>
              </w:rPr>
            </w:pPr>
            <w:r w:rsidRPr="00AD0D0B">
              <w:t>~10%</w:t>
            </w:r>
          </w:p>
        </w:tc>
        <w:tc>
          <w:tcPr>
            <w:tcW w:w="1519" w:type="dxa"/>
            <w:tcBorders>
              <w:top w:val="nil"/>
              <w:left w:val="nil"/>
              <w:bottom w:val="single" w:sz="8" w:space="0" w:color="auto"/>
              <w:right w:val="single" w:sz="4" w:space="0" w:color="auto"/>
            </w:tcBorders>
          </w:tcPr>
          <w:p w:rsidR="00F05B5F" w:rsidRDefault="00DC7839" w:rsidP="00AD0D0B">
            <w:pPr>
              <w:autoSpaceDE w:val="0"/>
              <w:autoSpaceDN w:val="0"/>
              <w:snapToGrid w:val="0"/>
              <w:rPr>
                <w:color w:val="1F497D"/>
              </w:rPr>
            </w:pPr>
            <w:r>
              <w:rPr>
                <w:rFonts w:eastAsia="Times New Roman"/>
                <w:color w:val="FF0000"/>
                <w:szCs w:val="20"/>
              </w:rPr>
              <w:t>ADC/DAC &amp; digital front-e</w:t>
            </w:r>
            <w:r w:rsidRPr="00AD0D0B">
              <w:rPr>
                <w:rFonts w:eastAsia="Times New Roman"/>
                <w:color w:val="FF0000"/>
                <w:szCs w:val="20"/>
              </w:rPr>
              <w:t>nd</w:t>
            </w:r>
          </w:p>
        </w:tc>
        <w:tc>
          <w:tcPr>
            <w:tcW w:w="1710" w:type="dxa"/>
            <w:tcBorders>
              <w:top w:val="nil"/>
              <w:left w:val="single" w:sz="4" w:space="0" w:color="auto"/>
              <w:bottom w:val="single" w:sz="8" w:space="0" w:color="auto"/>
              <w:right w:val="single" w:sz="4" w:space="0" w:color="auto"/>
            </w:tcBorders>
          </w:tcPr>
          <w:p w:rsidR="00F05B5F" w:rsidRDefault="00DC7839" w:rsidP="00745CF0">
            <w:pPr>
              <w:autoSpaceDE w:val="0"/>
              <w:autoSpaceDN w:val="0"/>
              <w:snapToGrid w:val="0"/>
              <w:spacing w:line="360" w:lineRule="auto"/>
              <w:rPr>
                <w:color w:val="1F497D"/>
              </w:rPr>
            </w:pPr>
            <w:r>
              <w:rPr>
                <w:color w:val="1F497D"/>
              </w:rPr>
              <w:t>15</w:t>
            </w:r>
            <w:r w:rsidR="00745CF0">
              <w:rPr>
                <w:color w:val="1F497D"/>
              </w:rPr>
              <w:t>-20</w:t>
            </w:r>
            <w:r w:rsidR="00AD0D0B">
              <w:rPr>
                <w:color w:val="1F497D"/>
              </w:rPr>
              <w:t>%</w:t>
            </w:r>
            <w:r w:rsidR="006C2264">
              <w:rPr>
                <w:color w:val="1F497D"/>
              </w:rPr>
              <w:t xml:space="preserve"> </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05B5F" w:rsidRPr="00745CF0" w:rsidRDefault="00DC7839" w:rsidP="00DC7839">
            <w:pPr>
              <w:autoSpaceDE w:val="0"/>
              <w:autoSpaceDN w:val="0"/>
              <w:snapToGrid w:val="0"/>
              <w:rPr>
                <w:rFonts w:eastAsiaTheme="minorEastAsia"/>
                <w:color w:val="365F91" w:themeColor="accent1" w:themeShade="BF"/>
                <w:sz w:val="18"/>
                <w:szCs w:val="18"/>
              </w:rPr>
            </w:pPr>
            <w:r w:rsidRPr="00745CF0">
              <w:rPr>
                <w:color w:val="365F91" w:themeColor="accent1" w:themeShade="BF"/>
                <w:sz w:val="18"/>
                <w:szCs w:val="18"/>
              </w:rPr>
              <w:t>A/D conversion &amp; baseband filtering before FFT (both depends on sampling rate)</w:t>
            </w:r>
          </w:p>
        </w:tc>
      </w:tr>
      <w:tr w:rsidR="00DC7839" w:rsidTr="005C6710">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B5F" w:rsidRPr="00AD0D0B" w:rsidRDefault="00F05B5F" w:rsidP="008E128B">
            <w:pPr>
              <w:autoSpaceDE w:val="0"/>
              <w:autoSpaceDN w:val="0"/>
              <w:snapToGrid w:val="0"/>
              <w:rPr>
                <w:rFonts w:ascii="Calibri" w:eastAsiaTheme="minorEastAsia" w:hAnsi="Calibri"/>
                <w:sz w:val="22"/>
                <w:szCs w:val="22"/>
              </w:rPr>
            </w:pPr>
            <w:r w:rsidRPr="00AD0D0B">
              <w:t>FFT</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~5%</w:t>
            </w:r>
          </w:p>
        </w:tc>
        <w:tc>
          <w:tcPr>
            <w:tcW w:w="1519" w:type="dxa"/>
            <w:tcBorders>
              <w:top w:val="nil"/>
              <w:left w:val="nil"/>
              <w:bottom w:val="single" w:sz="8" w:space="0" w:color="auto"/>
              <w:right w:val="single" w:sz="4" w:space="0" w:color="auto"/>
            </w:tcBorders>
          </w:tcPr>
          <w:p w:rsidR="00F05B5F" w:rsidRPr="00AD0D0B" w:rsidRDefault="005C6710" w:rsidP="00AD0D0B">
            <w:pPr>
              <w:rPr>
                <w:rFonts w:eastAsia="Times New Roman"/>
                <w:color w:val="FF0000"/>
                <w:szCs w:val="20"/>
              </w:rPr>
            </w:pPr>
            <w:r w:rsidRPr="00AD0D0B">
              <w:rPr>
                <w:rFonts w:eastAsia="Times New Roman"/>
                <w:color w:val="FF0000"/>
                <w:szCs w:val="20"/>
              </w:rPr>
              <w:t>FFT</w:t>
            </w:r>
            <w:r w:rsidR="00AD0D0B">
              <w:rPr>
                <w:rFonts w:eastAsia="Times New Roman"/>
                <w:color w:val="FF0000"/>
                <w:szCs w:val="20"/>
              </w:rPr>
              <w:t xml:space="preserve">/IFFT </w:t>
            </w:r>
          </w:p>
        </w:tc>
        <w:tc>
          <w:tcPr>
            <w:tcW w:w="1710" w:type="dxa"/>
            <w:tcBorders>
              <w:top w:val="nil"/>
              <w:left w:val="single" w:sz="4" w:space="0" w:color="auto"/>
              <w:bottom w:val="single" w:sz="8" w:space="0" w:color="auto"/>
              <w:right w:val="single" w:sz="4" w:space="0" w:color="auto"/>
            </w:tcBorders>
          </w:tcPr>
          <w:p w:rsidR="00F05B5F" w:rsidRPr="00AD0D0B" w:rsidRDefault="005C6710" w:rsidP="00745CF0">
            <w:pPr>
              <w:rPr>
                <w:rFonts w:eastAsia="Times New Roman"/>
                <w:color w:val="365F91" w:themeColor="accent1" w:themeShade="BF"/>
                <w:szCs w:val="20"/>
              </w:rPr>
            </w:pPr>
            <w:r w:rsidRPr="00AD0D0B">
              <w:rPr>
                <w:rFonts w:eastAsia="Times New Roman"/>
                <w:color w:val="365F91" w:themeColor="accent1" w:themeShade="BF"/>
                <w:szCs w:val="20"/>
              </w:rPr>
              <w:t>~5%</w:t>
            </w:r>
            <w:r w:rsidR="006C2264">
              <w:rPr>
                <w:rFonts w:eastAsia="Times New Roman"/>
                <w:color w:val="365F91" w:themeColor="accent1" w:themeShade="BF"/>
                <w:szCs w:val="20"/>
              </w:rPr>
              <w:t xml:space="preserve"> </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05B5F" w:rsidRPr="00010B84" w:rsidRDefault="00F05B5F" w:rsidP="00AD0D0B">
            <w:pPr>
              <w:rPr>
                <w:rFonts w:eastAsia="Times New Roman"/>
                <w:color w:val="365F91" w:themeColor="accent1" w:themeShade="BF"/>
                <w:sz w:val="18"/>
                <w:szCs w:val="18"/>
              </w:rPr>
            </w:pPr>
          </w:p>
        </w:tc>
      </w:tr>
      <w:tr w:rsidR="008E128B" w:rsidTr="00860977">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128B" w:rsidRPr="00AD0D0B" w:rsidRDefault="008E128B" w:rsidP="008E128B">
            <w:pPr>
              <w:autoSpaceDE w:val="0"/>
              <w:autoSpaceDN w:val="0"/>
              <w:snapToGrid w:val="0"/>
              <w:rPr>
                <w:rFonts w:ascii="Calibri" w:eastAsiaTheme="minorEastAsia" w:hAnsi="Calibri"/>
                <w:sz w:val="22"/>
                <w:szCs w:val="22"/>
              </w:rPr>
            </w:pPr>
            <w:r w:rsidRPr="00AD0D0B">
              <w:t>Subframe buffering</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8E128B" w:rsidRPr="00AD0D0B" w:rsidRDefault="008E128B" w:rsidP="00860977">
            <w:pPr>
              <w:autoSpaceDE w:val="0"/>
              <w:autoSpaceDN w:val="0"/>
              <w:snapToGrid w:val="0"/>
              <w:spacing w:line="360" w:lineRule="auto"/>
              <w:rPr>
                <w:rFonts w:ascii="Calibri" w:eastAsiaTheme="minorEastAsia" w:hAnsi="Calibri"/>
                <w:sz w:val="22"/>
                <w:szCs w:val="22"/>
              </w:rPr>
            </w:pPr>
            <w:r w:rsidRPr="00AD0D0B">
              <w:t>15%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8E128B" w:rsidRPr="00AD0D0B" w:rsidRDefault="008E128B" w:rsidP="00860977">
            <w:pPr>
              <w:autoSpaceDE w:val="0"/>
              <w:autoSpaceDN w:val="0"/>
              <w:snapToGrid w:val="0"/>
              <w:spacing w:line="360" w:lineRule="auto"/>
              <w:rPr>
                <w:rFonts w:ascii="Calibri" w:eastAsiaTheme="minorEastAsia" w:hAnsi="Calibri"/>
                <w:sz w:val="22"/>
                <w:szCs w:val="22"/>
              </w:rPr>
            </w:pPr>
            <w:r w:rsidRPr="00AD0D0B">
              <w:t>~10%</w:t>
            </w:r>
          </w:p>
        </w:tc>
        <w:tc>
          <w:tcPr>
            <w:tcW w:w="1519" w:type="dxa"/>
            <w:tcBorders>
              <w:top w:val="nil"/>
              <w:left w:val="nil"/>
              <w:bottom w:val="single" w:sz="8" w:space="0" w:color="auto"/>
              <w:right w:val="single" w:sz="4" w:space="0" w:color="auto"/>
            </w:tcBorders>
          </w:tcPr>
          <w:p w:rsidR="008E128B" w:rsidRPr="00AD0D0B" w:rsidRDefault="008E128B" w:rsidP="00860977">
            <w:pPr>
              <w:rPr>
                <w:rFonts w:eastAsia="Times New Roman"/>
                <w:color w:val="FF0000"/>
                <w:szCs w:val="20"/>
              </w:rPr>
            </w:pPr>
            <w:r w:rsidRPr="00AD0D0B">
              <w:rPr>
                <w:rFonts w:eastAsia="Times New Roman"/>
                <w:color w:val="FF0000"/>
                <w:szCs w:val="20"/>
              </w:rPr>
              <w:t>Post-FFT data buffering</w:t>
            </w:r>
          </w:p>
        </w:tc>
        <w:tc>
          <w:tcPr>
            <w:tcW w:w="1710" w:type="dxa"/>
            <w:tcBorders>
              <w:top w:val="nil"/>
              <w:left w:val="single" w:sz="4" w:space="0" w:color="auto"/>
              <w:bottom w:val="single" w:sz="8" w:space="0" w:color="auto"/>
              <w:right w:val="single" w:sz="4" w:space="0" w:color="auto"/>
            </w:tcBorders>
          </w:tcPr>
          <w:p w:rsidR="008E128B" w:rsidRPr="00AD0D0B" w:rsidRDefault="008E128B" w:rsidP="00860977">
            <w:pPr>
              <w:rPr>
                <w:rFonts w:eastAsia="Times New Roman"/>
                <w:color w:val="365F91" w:themeColor="accent1" w:themeShade="BF"/>
                <w:szCs w:val="20"/>
              </w:rPr>
            </w:pPr>
            <w:r w:rsidRPr="00AD0D0B">
              <w:rPr>
                <w:rFonts w:eastAsia="Times New Roman"/>
                <w:color w:val="365F91" w:themeColor="accent1" w:themeShade="BF"/>
                <w:szCs w:val="20"/>
              </w:rPr>
              <w:t>10-15%</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8E128B" w:rsidRPr="00010B84" w:rsidRDefault="008E128B" w:rsidP="00596E67">
            <w:pPr>
              <w:rPr>
                <w:rFonts w:eastAsia="Times New Roman"/>
                <w:color w:val="365F91" w:themeColor="accent1" w:themeShade="BF"/>
                <w:sz w:val="18"/>
                <w:szCs w:val="18"/>
              </w:rPr>
            </w:pPr>
          </w:p>
        </w:tc>
      </w:tr>
      <w:tr w:rsidR="00DC7839" w:rsidTr="005C6710">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B5F" w:rsidRPr="00AD0D0B" w:rsidRDefault="00F05B5F" w:rsidP="008E128B">
            <w:pPr>
              <w:autoSpaceDE w:val="0"/>
              <w:autoSpaceDN w:val="0"/>
              <w:snapToGrid w:val="0"/>
              <w:rPr>
                <w:rFonts w:ascii="Calibri" w:eastAsiaTheme="minorEastAsia" w:hAnsi="Calibri"/>
                <w:sz w:val="22"/>
                <w:szCs w:val="22"/>
              </w:rPr>
            </w:pPr>
            <w:r w:rsidRPr="00AD0D0B">
              <w:t>Channel estimator block</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35%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~25%</w:t>
            </w:r>
          </w:p>
        </w:tc>
        <w:tc>
          <w:tcPr>
            <w:tcW w:w="1519" w:type="dxa"/>
            <w:tcBorders>
              <w:top w:val="nil"/>
              <w:left w:val="nil"/>
              <w:bottom w:val="single" w:sz="8" w:space="0" w:color="auto"/>
              <w:right w:val="single" w:sz="4" w:space="0" w:color="auto"/>
            </w:tcBorders>
          </w:tcPr>
          <w:p w:rsidR="00F05B5F" w:rsidRPr="00AD0D0B" w:rsidRDefault="00010B84" w:rsidP="00AD0D0B">
            <w:pPr>
              <w:autoSpaceDE w:val="0"/>
              <w:autoSpaceDN w:val="0"/>
              <w:snapToGrid w:val="0"/>
              <w:rPr>
                <w:color w:val="FF0000"/>
              </w:rPr>
            </w:pPr>
            <w:r w:rsidRPr="00AD0D0B">
              <w:rPr>
                <w:color w:val="FF0000"/>
              </w:rPr>
              <w:t>Receiver processing &amp; demod (CE &amp; LLR computation)</w:t>
            </w:r>
          </w:p>
        </w:tc>
        <w:tc>
          <w:tcPr>
            <w:tcW w:w="1710" w:type="dxa"/>
            <w:tcBorders>
              <w:top w:val="nil"/>
              <w:left w:val="single" w:sz="4" w:space="0" w:color="auto"/>
              <w:bottom w:val="single" w:sz="8" w:space="0" w:color="auto"/>
              <w:right w:val="single" w:sz="4" w:space="0" w:color="auto"/>
            </w:tcBorders>
          </w:tcPr>
          <w:p w:rsidR="00F05B5F" w:rsidRPr="00AD0D0B" w:rsidRDefault="00EE4DEC">
            <w:pPr>
              <w:autoSpaceDE w:val="0"/>
              <w:autoSpaceDN w:val="0"/>
              <w:snapToGrid w:val="0"/>
              <w:spacing w:line="360" w:lineRule="auto"/>
              <w:rPr>
                <w:color w:val="365F91" w:themeColor="accent1" w:themeShade="BF"/>
              </w:rPr>
            </w:pPr>
            <w:r>
              <w:rPr>
                <w:color w:val="365F91" w:themeColor="accent1" w:themeShade="BF"/>
              </w:rPr>
              <w:t>~20</w:t>
            </w:r>
            <w:r w:rsidR="00010B84" w:rsidRPr="00AD0D0B">
              <w:rPr>
                <w:color w:val="365F91" w:themeColor="accent1" w:themeShade="BF"/>
              </w:rPr>
              <w:t>%</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F05B5F" w:rsidRPr="00010B84" w:rsidRDefault="00010B84" w:rsidP="00010B84">
            <w:pPr>
              <w:autoSpaceDE w:val="0"/>
              <w:autoSpaceDN w:val="0"/>
              <w:snapToGrid w:val="0"/>
              <w:rPr>
                <w:rFonts w:eastAsiaTheme="minorEastAsia"/>
                <w:color w:val="365F91" w:themeColor="accent1" w:themeShade="BF"/>
                <w:sz w:val="18"/>
                <w:szCs w:val="18"/>
              </w:rPr>
            </w:pPr>
            <w:r w:rsidRPr="00010B84">
              <w:rPr>
                <w:rFonts w:eastAsiaTheme="minorEastAsia"/>
                <w:color w:val="365F91" w:themeColor="accent1" w:themeShade="BF"/>
                <w:sz w:val="18"/>
                <w:szCs w:val="18"/>
              </w:rPr>
              <w:t xml:space="preserve">Combined </w:t>
            </w:r>
            <w:r>
              <w:rPr>
                <w:rFonts w:eastAsiaTheme="minorEastAsia"/>
                <w:color w:val="365F91" w:themeColor="accent1" w:themeShade="BF"/>
                <w:sz w:val="18"/>
                <w:szCs w:val="18"/>
              </w:rPr>
              <w:t>CE and Rx processing (for LLR), because both complexity closely depends on #</w:t>
            </w:r>
            <w:r w:rsidRPr="00010B84">
              <w:rPr>
                <w:rFonts w:eastAsiaTheme="minorEastAsia"/>
                <w:color w:val="365F91" w:themeColor="accent1" w:themeShade="BF"/>
                <w:sz w:val="18"/>
                <w:szCs w:val="18"/>
              </w:rPr>
              <w:t xml:space="preserve"> of REs to be </w:t>
            </w:r>
            <w:r>
              <w:rPr>
                <w:rFonts w:eastAsiaTheme="minorEastAsia"/>
                <w:color w:val="365F91" w:themeColor="accent1" w:themeShade="BF"/>
                <w:sz w:val="18"/>
                <w:szCs w:val="18"/>
              </w:rPr>
              <w:t xml:space="preserve">processed. </w:t>
            </w:r>
          </w:p>
        </w:tc>
      </w:tr>
      <w:tr w:rsidR="00DC7839" w:rsidTr="005C6710">
        <w:tc>
          <w:tcPr>
            <w:tcW w:w="201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05B5F" w:rsidRPr="00AD0D0B" w:rsidRDefault="00F05B5F" w:rsidP="008E128B">
            <w:pPr>
              <w:autoSpaceDE w:val="0"/>
              <w:autoSpaceDN w:val="0"/>
              <w:snapToGrid w:val="0"/>
              <w:rPr>
                <w:rFonts w:ascii="Calibri" w:eastAsiaTheme="minorEastAsia" w:hAnsi="Calibri"/>
                <w:sz w:val="22"/>
                <w:szCs w:val="22"/>
              </w:rPr>
            </w:pPr>
            <w:r w:rsidRPr="00AD0D0B">
              <w:t>DL transport channel processing block</w:t>
            </w:r>
          </w:p>
        </w:tc>
        <w:tc>
          <w:tcPr>
            <w:tcW w:w="1155" w:type="dxa"/>
            <w:tcBorders>
              <w:top w:val="nil"/>
              <w:left w:val="nil"/>
              <w:bottom w:val="single" w:sz="4"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5%</w:t>
            </w:r>
          </w:p>
        </w:tc>
        <w:tc>
          <w:tcPr>
            <w:tcW w:w="1091" w:type="dxa"/>
            <w:tcBorders>
              <w:top w:val="nil"/>
              <w:left w:val="nil"/>
              <w:bottom w:val="single" w:sz="4" w:space="0" w:color="auto"/>
              <w:right w:val="single" w:sz="8" w:space="0" w:color="auto"/>
            </w:tcBorders>
            <w:tcMar>
              <w:top w:w="0" w:type="dxa"/>
              <w:left w:w="108" w:type="dxa"/>
              <w:bottom w:w="0" w:type="dxa"/>
              <w:right w:w="108" w:type="dxa"/>
            </w:tcMar>
            <w:hideMark/>
          </w:tcPr>
          <w:p w:rsidR="00F05B5F" w:rsidRPr="00AD0D0B" w:rsidRDefault="00F05B5F">
            <w:pPr>
              <w:autoSpaceDE w:val="0"/>
              <w:autoSpaceDN w:val="0"/>
              <w:snapToGrid w:val="0"/>
              <w:spacing w:line="360" w:lineRule="auto"/>
              <w:rPr>
                <w:rFonts w:ascii="Calibri" w:eastAsiaTheme="minorEastAsia" w:hAnsi="Calibri"/>
                <w:sz w:val="22"/>
                <w:szCs w:val="22"/>
              </w:rPr>
            </w:pPr>
            <w:r w:rsidRPr="00AD0D0B">
              <w:t>10%~15%</w:t>
            </w:r>
          </w:p>
        </w:tc>
        <w:tc>
          <w:tcPr>
            <w:tcW w:w="1519" w:type="dxa"/>
            <w:tcBorders>
              <w:top w:val="nil"/>
              <w:left w:val="nil"/>
              <w:bottom w:val="single" w:sz="4" w:space="0" w:color="auto"/>
              <w:right w:val="single" w:sz="4" w:space="0" w:color="auto"/>
            </w:tcBorders>
          </w:tcPr>
          <w:p w:rsidR="00F05B5F" w:rsidRPr="00AD0D0B" w:rsidRDefault="00010B84" w:rsidP="00AD0D0B">
            <w:pPr>
              <w:autoSpaceDE w:val="0"/>
              <w:autoSpaceDN w:val="0"/>
              <w:snapToGrid w:val="0"/>
              <w:rPr>
                <w:color w:val="FF0000"/>
              </w:rPr>
            </w:pPr>
            <w:r>
              <w:rPr>
                <w:color w:val="FF0000"/>
              </w:rPr>
              <w:t>Turbo decoding</w:t>
            </w:r>
          </w:p>
        </w:tc>
        <w:tc>
          <w:tcPr>
            <w:tcW w:w="1710" w:type="dxa"/>
            <w:tcBorders>
              <w:top w:val="nil"/>
              <w:left w:val="single" w:sz="4" w:space="0" w:color="auto"/>
              <w:bottom w:val="single" w:sz="4" w:space="0" w:color="auto"/>
              <w:right w:val="single" w:sz="4" w:space="0" w:color="auto"/>
            </w:tcBorders>
          </w:tcPr>
          <w:p w:rsidR="00F05B5F" w:rsidRPr="00AD0D0B" w:rsidRDefault="00EE4DEC" w:rsidP="00745CF0">
            <w:pPr>
              <w:autoSpaceDE w:val="0"/>
              <w:autoSpaceDN w:val="0"/>
              <w:snapToGrid w:val="0"/>
              <w:spacing w:line="360" w:lineRule="auto"/>
              <w:rPr>
                <w:color w:val="365F91" w:themeColor="accent1" w:themeShade="BF"/>
              </w:rPr>
            </w:pPr>
            <w:r>
              <w:rPr>
                <w:color w:val="365F91" w:themeColor="accent1" w:themeShade="BF"/>
              </w:rPr>
              <w:t>~10</w:t>
            </w:r>
            <w:r w:rsidR="00010B84">
              <w:rPr>
                <w:color w:val="365F91" w:themeColor="accent1" w:themeShade="BF"/>
              </w:rPr>
              <w:t>%</w:t>
            </w:r>
          </w:p>
        </w:tc>
        <w:tc>
          <w:tcPr>
            <w:tcW w:w="2376"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F05B5F" w:rsidRPr="00010B84" w:rsidRDefault="00DC7839" w:rsidP="00DC7839">
            <w:pPr>
              <w:autoSpaceDE w:val="0"/>
              <w:autoSpaceDN w:val="0"/>
              <w:snapToGrid w:val="0"/>
              <w:rPr>
                <w:rFonts w:eastAsiaTheme="minorEastAsia"/>
                <w:color w:val="365F91" w:themeColor="accent1" w:themeShade="BF"/>
                <w:sz w:val="18"/>
                <w:szCs w:val="18"/>
              </w:rPr>
            </w:pPr>
            <w:r>
              <w:rPr>
                <w:rFonts w:eastAsiaTheme="minorEastAsia"/>
                <w:color w:val="365F91" w:themeColor="accent1" w:themeShade="BF"/>
                <w:sz w:val="18"/>
                <w:szCs w:val="18"/>
              </w:rPr>
              <w:t>Turbo decoding only, si</w:t>
            </w:r>
            <w:r w:rsidR="00745CF0">
              <w:rPr>
                <w:rFonts w:eastAsiaTheme="minorEastAsia"/>
                <w:color w:val="365F91" w:themeColor="accent1" w:themeShade="BF"/>
                <w:sz w:val="18"/>
                <w:szCs w:val="18"/>
              </w:rPr>
              <w:t>nce LLR computation is part of R</w:t>
            </w:r>
            <w:r>
              <w:rPr>
                <w:rFonts w:eastAsiaTheme="minorEastAsia"/>
                <w:color w:val="365F91" w:themeColor="accent1" w:themeShade="BF"/>
                <w:sz w:val="18"/>
                <w:szCs w:val="18"/>
              </w:rPr>
              <w:t>x demod processing</w:t>
            </w:r>
          </w:p>
        </w:tc>
      </w:tr>
      <w:tr w:rsidR="008E128B" w:rsidTr="00FE7C52">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128B" w:rsidRPr="00AD0D0B" w:rsidRDefault="008E128B" w:rsidP="008E128B">
            <w:pPr>
              <w:autoSpaceDE w:val="0"/>
              <w:autoSpaceDN w:val="0"/>
              <w:snapToGrid w:val="0"/>
              <w:rPr>
                <w:rFonts w:ascii="Calibri" w:eastAsiaTheme="minorEastAsia" w:hAnsi="Calibri"/>
                <w:sz w:val="22"/>
                <w:szCs w:val="22"/>
              </w:rPr>
            </w:pPr>
            <w:r w:rsidRPr="00AD0D0B">
              <w:t>HARQ memory</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8E128B" w:rsidRPr="00AD0D0B" w:rsidRDefault="008E128B" w:rsidP="00FE7C52">
            <w:pPr>
              <w:autoSpaceDE w:val="0"/>
              <w:autoSpaceDN w:val="0"/>
              <w:snapToGrid w:val="0"/>
              <w:spacing w:line="360" w:lineRule="auto"/>
              <w:rPr>
                <w:rFonts w:ascii="Calibri" w:eastAsiaTheme="minorEastAsia" w:hAnsi="Calibri"/>
                <w:sz w:val="22"/>
                <w:szCs w:val="22"/>
              </w:rPr>
            </w:pPr>
            <w:r w:rsidRPr="00AD0D0B">
              <w:t>15%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8E128B" w:rsidRPr="00AD0D0B" w:rsidRDefault="008E128B" w:rsidP="00FE7C52">
            <w:pPr>
              <w:autoSpaceDE w:val="0"/>
              <w:autoSpaceDN w:val="0"/>
              <w:snapToGrid w:val="0"/>
              <w:spacing w:line="360" w:lineRule="auto"/>
              <w:rPr>
                <w:rFonts w:ascii="Calibri" w:eastAsiaTheme="minorEastAsia" w:hAnsi="Calibri"/>
                <w:sz w:val="22"/>
                <w:szCs w:val="22"/>
              </w:rPr>
            </w:pPr>
            <w:r w:rsidRPr="00AD0D0B">
              <w:t>~10%</w:t>
            </w:r>
          </w:p>
        </w:tc>
        <w:tc>
          <w:tcPr>
            <w:tcW w:w="1519" w:type="dxa"/>
            <w:tcBorders>
              <w:top w:val="nil"/>
              <w:left w:val="nil"/>
              <w:bottom w:val="single" w:sz="8" w:space="0" w:color="auto"/>
              <w:right w:val="single" w:sz="4" w:space="0" w:color="auto"/>
            </w:tcBorders>
          </w:tcPr>
          <w:p w:rsidR="008E128B" w:rsidRPr="00AD0D0B" w:rsidRDefault="008E128B" w:rsidP="00FE7C52">
            <w:pPr>
              <w:rPr>
                <w:rFonts w:eastAsia="Times New Roman"/>
                <w:color w:val="FF0000"/>
                <w:szCs w:val="20"/>
              </w:rPr>
            </w:pPr>
            <w:r>
              <w:rPr>
                <w:rFonts w:eastAsia="Times New Roman"/>
                <w:color w:val="FF0000"/>
                <w:szCs w:val="20"/>
              </w:rPr>
              <w:t>HARQ buffer</w:t>
            </w:r>
          </w:p>
        </w:tc>
        <w:tc>
          <w:tcPr>
            <w:tcW w:w="1710" w:type="dxa"/>
            <w:tcBorders>
              <w:top w:val="nil"/>
              <w:left w:val="single" w:sz="4" w:space="0" w:color="auto"/>
              <w:bottom w:val="single" w:sz="8" w:space="0" w:color="auto"/>
              <w:right w:val="single" w:sz="4" w:space="0" w:color="auto"/>
            </w:tcBorders>
          </w:tcPr>
          <w:p w:rsidR="008E128B" w:rsidRPr="008E128B" w:rsidRDefault="00EE4DEC" w:rsidP="00FE7C52">
            <w:pPr>
              <w:rPr>
                <w:rFonts w:eastAsia="Times New Roman"/>
                <w:color w:val="365F91" w:themeColor="accent1" w:themeShade="BF"/>
                <w:szCs w:val="20"/>
              </w:rPr>
            </w:pPr>
            <w:r>
              <w:rPr>
                <w:rFonts w:eastAsia="Times New Roman"/>
                <w:color w:val="365F91" w:themeColor="accent1" w:themeShade="BF"/>
                <w:szCs w:val="20"/>
              </w:rPr>
              <w:t>~10</w:t>
            </w:r>
            <w:r w:rsidR="00745CF0">
              <w:rPr>
                <w:rFonts w:eastAsia="Times New Roman"/>
                <w:color w:val="365F91" w:themeColor="accent1" w:themeShade="BF"/>
                <w:szCs w:val="20"/>
              </w:rPr>
              <w:t>%</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8E128B" w:rsidRPr="00010B84" w:rsidRDefault="008E128B" w:rsidP="00FE7C52">
            <w:pPr>
              <w:rPr>
                <w:rFonts w:eastAsia="Times New Roman"/>
                <w:color w:val="365F91" w:themeColor="accent1" w:themeShade="BF"/>
                <w:sz w:val="18"/>
                <w:szCs w:val="18"/>
              </w:rPr>
            </w:pPr>
          </w:p>
        </w:tc>
      </w:tr>
      <w:tr w:rsidR="00DC7839" w:rsidTr="005C6710">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10" w:rsidRPr="00AD0D0B" w:rsidRDefault="005C6710" w:rsidP="008E128B">
            <w:pPr>
              <w:autoSpaceDE w:val="0"/>
              <w:autoSpaceDN w:val="0"/>
              <w:snapToGrid w:val="0"/>
              <w:rPr>
                <w:rFonts w:ascii="Calibri" w:eastAsiaTheme="minorEastAsia" w:hAnsi="Calibri"/>
                <w:sz w:val="22"/>
                <w:szCs w:val="22"/>
              </w:rPr>
            </w:pPr>
            <w:r w:rsidRPr="00AD0D0B">
              <w:t>DL control channel processing block</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5C6710" w:rsidRPr="00AD0D0B" w:rsidRDefault="005C6710">
            <w:pPr>
              <w:autoSpaceDE w:val="0"/>
              <w:autoSpaceDN w:val="0"/>
              <w:snapToGrid w:val="0"/>
              <w:spacing w:line="360" w:lineRule="auto"/>
              <w:rPr>
                <w:rFonts w:ascii="Calibri" w:eastAsiaTheme="minorEastAsia" w:hAnsi="Calibri"/>
                <w:sz w:val="22"/>
                <w:szCs w:val="22"/>
              </w:rPr>
            </w:pPr>
            <w:r w:rsidRPr="00AD0D0B">
              <w:t>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5C6710" w:rsidRPr="00AD0D0B" w:rsidRDefault="005C6710">
            <w:pPr>
              <w:autoSpaceDE w:val="0"/>
              <w:autoSpaceDN w:val="0"/>
              <w:snapToGrid w:val="0"/>
              <w:spacing w:line="360" w:lineRule="auto"/>
              <w:rPr>
                <w:rFonts w:ascii="Calibri" w:eastAsiaTheme="minorEastAsia" w:hAnsi="Calibri"/>
                <w:sz w:val="22"/>
                <w:szCs w:val="22"/>
              </w:rPr>
            </w:pPr>
            <w:r w:rsidRPr="00AD0D0B">
              <w:t>5%~10%</w:t>
            </w:r>
          </w:p>
        </w:tc>
        <w:tc>
          <w:tcPr>
            <w:tcW w:w="1519" w:type="dxa"/>
            <w:tcBorders>
              <w:top w:val="nil"/>
              <w:left w:val="nil"/>
              <w:bottom w:val="single" w:sz="8" w:space="0" w:color="auto"/>
              <w:right w:val="single" w:sz="4" w:space="0" w:color="auto"/>
            </w:tcBorders>
          </w:tcPr>
          <w:p w:rsidR="005C6710" w:rsidRPr="00AD0D0B" w:rsidRDefault="005C6710" w:rsidP="00AD0D0B">
            <w:pPr>
              <w:autoSpaceDE w:val="0"/>
              <w:autoSpaceDN w:val="0"/>
              <w:snapToGrid w:val="0"/>
              <w:rPr>
                <w:color w:val="FF0000"/>
              </w:rPr>
            </w:pPr>
            <w:r w:rsidRPr="00AD0D0B">
              <w:rPr>
                <w:color w:val="FF0000"/>
              </w:rPr>
              <w:t xml:space="preserve">DL control </w:t>
            </w:r>
            <w:r w:rsidR="00AD0D0B" w:rsidRPr="00AD0D0B">
              <w:rPr>
                <w:color w:val="FF0000"/>
              </w:rPr>
              <w:t xml:space="preserve">processing &amp; </w:t>
            </w:r>
            <w:r w:rsidRPr="00AD0D0B">
              <w:rPr>
                <w:color w:val="FF0000"/>
              </w:rPr>
              <w:t>decoder</w:t>
            </w:r>
          </w:p>
        </w:tc>
        <w:tc>
          <w:tcPr>
            <w:tcW w:w="1710" w:type="dxa"/>
            <w:tcBorders>
              <w:top w:val="nil"/>
              <w:left w:val="single" w:sz="4" w:space="0" w:color="auto"/>
              <w:bottom w:val="single" w:sz="8" w:space="0" w:color="auto"/>
              <w:right w:val="single" w:sz="4" w:space="0" w:color="auto"/>
            </w:tcBorders>
          </w:tcPr>
          <w:p w:rsidR="005C6710" w:rsidRDefault="00EE4DEC" w:rsidP="00745CF0">
            <w:pPr>
              <w:autoSpaceDE w:val="0"/>
              <w:autoSpaceDN w:val="0"/>
              <w:snapToGrid w:val="0"/>
              <w:spacing w:line="360" w:lineRule="auto"/>
              <w:rPr>
                <w:color w:val="1F497D"/>
              </w:rPr>
            </w:pPr>
            <w:r>
              <w:rPr>
                <w:color w:val="1F497D"/>
              </w:rPr>
              <w:t>~</w:t>
            </w:r>
            <w:r w:rsidR="005C6710">
              <w:rPr>
                <w:color w:val="1F497D"/>
              </w:rPr>
              <w:t>5%</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5C6710" w:rsidRPr="00010B84" w:rsidRDefault="005C6710" w:rsidP="00AD0D0B">
            <w:pPr>
              <w:autoSpaceDE w:val="0"/>
              <w:autoSpaceDN w:val="0"/>
              <w:snapToGrid w:val="0"/>
              <w:rPr>
                <w:rFonts w:eastAsiaTheme="minorEastAsia"/>
                <w:color w:val="365F91" w:themeColor="accent1" w:themeShade="BF"/>
                <w:sz w:val="18"/>
                <w:szCs w:val="18"/>
              </w:rPr>
            </w:pPr>
            <w:r w:rsidRPr="00010B84">
              <w:rPr>
                <w:color w:val="365F91" w:themeColor="accent1" w:themeShade="BF"/>
                <w:sz w:val="18"/>
                <w:szCs w:val="18"/>
              </w:rPr>
              <w:t xml:space="preserve">Convolution decoding </w:t>
            </w:r>
            <w:r w:rsidR="00745CF0">
              <w:rPr>
                <w:color w:val="365F91" w:themeColor="accent1" w:themeShade="BF"/>
                <w:sz w:val="18"/>
                <w:szCs w:val="18"/>
              </w:rPr>
              <w:t>&amp; rate matching</w:t>
            </w:r>
          </w:p>
        </w:tc>
      </w:tr>
      <w:tr w:rsidR="00DC7839" w:rsidTr="005C6710">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10" w:rsidRPr="00AD0D0B" w:rsidRDefault="005C6710" w:rsidP="008E128B">
            <w:pPr>
              <w:autoSpaceDE w:val="0"/>
              <w:autoSpaceDN w:val="0"/>
              <w:snapToGrid w:val="0"/>
              <w:rPr>
                <w:rFonts w:ascii="Calibri" w:eastAsiaTheme="minorEastAsia" w:hAnsi="Calibri"/>
                <w:sz w:val="22"/>
                <w:szCs w:val="22"/>
              </w:rPr>
            </w:pPr>
            <w:r w:rsidRPr="00AD0D0B">
              <w:t>Synchronization / cell search block</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5C6710" w:rsidRPr="00AD0D0B" w:rsidRDefault="005C6710">
            <w:pPr>
              <w:autoSpaceDE w:val="0"/>
              <w:autoSpaceDN w:val="0"/>
              <w:snapToGrid w:val="0"/>
              <w:spacing w:line="360" w:lineRule="auto"/>
              <w:rPr>
                <w:rFonts w:ascii="Calibri" w:eastAsiaTheme="minorEastAsia" w:hAnsi="Calibri"/>
                <w:sz w:val="22"/>
                <w:szCs w:val="22"/>
              </w:rPr>
            </w:pPr>
            <w:r w:rsidRPr="00AD0D0B">
              <w:t>10%</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5C6710" w:rsidRPr="00AD0D0B" w:rsidRDefault="005C6710">
            <w:pPr>
              <w:autoSpaceDE w:val="0"/>
              <w:autoSpaceDN w:val="0"/>
              <w:snapToGrid w:val="0"/>
              <w:spacing w:line="360" w:lineRule="auto"/>
              <w:rPr>
                <w:rFonts w:ascii="Calibri" w:eastAsiaTheme="minorEastAsia" w:hAnsi="Calibri"/>
                <w:sz w:val="22"/>
                <w:szCs w:val="22"/>
              </w:rPr>
            </w:pPr>
            <w:r w:rsidRPr="00AD0D0B">
              <w:t>~10%</w:t>
            </w:r>
          </w:p>
        </w:tc>
        <w:tc>
          <w:tcPr>
            <w:tcW w:w="1519" w:type="dxa"/>
            <w:tcBorders>
              <w:top w:val="nil"/>
              <w:left w:val="nil"/>
              <w:bottom w:val="single" w:sz="8" w:space="0" w:color="auto"/>
              <w:right w:val="single" w:sz="4" w:space="0" w:color="auto"/>
            </w:tcBorders>
          </w:tcPr>
          <w:p w:rsidR="005C6710" w:rsidRPr="00AD0D0B" w:rsidRDefault="005C6710" w:rsidP="00AD0D0B">
            <w:pPr>
              <w:rPr>
                <w:rFonts w:eastAsia="Times New Roman"/>
                <w:color w:val="365F91" w:themeColor="accent1" w:themeShade="BF"/>
                <w:szCs w:val="20"/>
              </w:rPr>
            </w:pPr>
            <w:r w:rsidRPr="00AD0D0B">
              <w:rPr>
                <w:rFonts w:eastAsia="Times New Roman"/>
                <w:color w:val="365F91" w:themeColor="accent1" w:themeShade="BF"/>
                <w:szCs w:val="20"/>
              </w:rPr>
              <w:t>same</w:t>
            </w:r>
            <w:r w:rsidR="008E128B">
              <w:rPr>
                <w:rFonts w:eastAsia="Times New Roman"/>
                <w:color w:val="365F91" w:themeColor="accent1" w:themeShade="BF"/>
                <w:szCs w:val="20"/>
              </w:rPr>
              <w:t xml:space="preserve"> term</w:t>
            </w:r>
          </w:p>
        </w:tc>
        <w:tc>
          <w:tcPr>
            <w:tcW w:w="1710" w:type="dxa"/>
            <w:tcBorders>
              <w:top w:val="nil"/>
              <w:left w:val="single" w:sz="4" w:space="0" w:color="auto"/>
              <w:bottom w:val="single" w:sz="8" w:space="0" w:color="auto"/>
              <w:right w:val="single" w:sz="4" w:space="0" w:color="auto"/>
            </w:tcBorders>
          </w:tcPr>
          <w:p w:rsidR="005C6710" w:rsidRPr="00AD0D0B" w:rsidRDefault="005C6710">
            <w:pPr>
              <w:rPr>
                <w:rFonts w:eastAsia="Times New Roman"/>
                <w:color w:val="365F91" w:themeColor="accent1" w:themeShade="BF"/>
                <w:szCs w:val="20"/>
              </w:rPr>
            </w:pPr>
            <w:r w:rsidRPr="00AD0D0B">
              <w:rPr>
                <w:rFonts w:eastAsia="Times New Roman"/>
                <w:color w:val="365F91" w:themeColor="accent1" w:themeShade="BF"/>
                <w:szCs w:val="20"/>
              </w:rPr>
              <w:t>10-15%</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5C6710" w:rsidRPr="00010B84" w:rsidRDefault="005C6710" w:rsidP="00AD0D0B">
            <w:pPr>
              <w:rPr>
                <w:rFonts w:eastAsia="Times New Roman"/>
                <w:color w:val="365F91" w:themeColor="accent1" w:themeShade="BF"/>
                <w:sz w:val="18"/>
                <w:szCs w:val="18"/>
              </w:rPr>
            </w:pPr>
          </w:p>
        </w:tc>
      </w:tr>
      <w:tr w:rsidR="00DC7839" w:rsidTr="005C6710">
        <w:trPr>
          <w:trHeight w:val="40"/>
        </w:trPr>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10" w:rsidRPr="00AD0D0B" w:rsidRDefault="005C6710" w:rsidP="008E128B">
            <w:pPr>
              <w:autoSpaceDE w:val="0"/>
              <w:autoSpaceDN w:val="0"/>
              <w:snapToGrid w:val="0"/>
              <w:rPr>
                <w:rFonts w:ascii="Calibri" w:eastAsiaTheme="minorEastAsia" w:hAnsi="Calibri"/>
                <w:sz w:val="22"/>
                <w:szCs w:val="22"/>
                <w:shd w:val="clear" w:color="auto" w:fill="FFFF00"/>
              </w:rPr>
            </w:pPr>
            <w:r w:rsidRPr="00AD0D0B">
              <w:t xml:space="preserve">UL </w:t>
            </w:r>
            <w:r w:rsidRPr="00AD0D0B">
              <w:rPr>
                <w:strike/>
              </w:rPr>
              <w:t>transport channel</w:t>
            </w:r>
            <w:r w:rsidRPr="00AD0D0B">
              <w:t xml:space="preserve"> processing block</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5C6710" w:rsidRPr="00AD0D0B" w:rsidRDefault="005C6710">
            <w:pPr>
              <w:autoSpaceDE w:val="0"/>
              <w:autoSpaceDN w:val="0"/>
              <w:snapToGrid w:val="0"/>
              <w:spacing w:line="40" w:lineRule="atLeast"/>
              <w:rPr>
                <w:rFonts w:ascii="Calibri" w:eastAsiaTheme="minorEastAsia" w:hAnsi="Calibri"/>
                <w:sz w:val="22"/>
                <w:szCs w:val="22"/>
              </w:rPr>
            </w:pPr>
            <w:r w:rsidRPr="00AD0D0B">
              <w:t>&lt;5%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5C6710" w:rsidRPr="00AD0D0B" w:rsidRDefault="005C6710">
            <w:pPr>
              <w:autoSpaceDE w:val="0"/>
              <w:autoSpaceDN w:val="0"/>
              <w:snapToGrid w:val="0"/>
              <w:spacing w:line="40" w:lineRule="atLeast"/>
              <w:rPr>
                <w:rFonts w:ascii="Calibri" w:eastAsiaTheme="minorEastAsia" w:hAnsi="Calibri"/>
                <w:sz w:val="22"/>
                <w:szCs w:val="22"/>
              </w:rPr>
            </w:pPr>
            <w:r w:rsidRPr="00AD0D0B">
              <w:t>~10%</w:t>
            </w:r>
          </w:p>
        </w:tc>
        <w:tc>
          <w:tcPr>
            <w:tcW w:w="1519" w:type="dxa"/>
            <w:tcBorders>
              <w:top w:val="nil"/>
              <w:left w:val="nil"/>
              <w:bottom w:val="single" w:sz="8" w:space="0" w:color="auto"/>
              <w:right w:val="single" w:sz="4" w:space="0" w:color="auto"/>
            </w:tcBorders>
          </w:tcPr>
          <w:p w:rsidR="005C6710" w:rsidRPr="00745CF0" w:rsidRDefault="005C6710" w:rsidP="00DC7839">
            <w:pPr>
              <w:autoSpaceDE w:val="0"/>
              <w:autoSpaceDN w:val="0"/>
              <w:snapToGrid w:val="0"/>
              <w:rPr>
                <w:color w:val="FF0000"/>
              </w:rPr>
            </w:pPr>
            <w:r w:rsidRPr="00745CF0">
              <w:rPr>
                <w:color w:val="FF0000"/>
              </w:rPr>
              <w:t>UL processing</w:t>
            </w:r>
          </w:p>
        </w:tc>
        <w:tc>
          <w:tcPr>
            <w:tcW w:w="1710" w:type="dxa"/>
            <w:tcBorders>
              <w:top w:val="nil"/>
              <w:left w:val="single" w:sz="4" w:space="0" w:color="auto"/>
              <w:bottom w:val="single" w:sz="8" w:space="0" w:color="auto"/>
              <w:right w:val="single" w:sz="4" w:space="0" w:color="auto"/>
            </w:tcBorders>
          </w:tcPr>
          <w:p w:rsidR="005C6710" w:rsidRPr="00AD0D0B" w:rsidRDefault="00EE4DEC" w:rsidP="00745CF0">
            <w:pPr>
              <w:autoSpaceDE w:val="0"/>
              <w:autoSpaceDN w:val="0"/>
              <w:snapToGrid w:val="0"/>
              <w:spacing w:line="40" w:lineRule="atLeast"/>
              <w:rPr>
                <w:color w:val="365F91" w:themeColor="accent1" w:themeShade="BF"/>
              </w:rPr>
            </w:pPr>
            <w:r>
              <w:rPr>
                <w:color w:val="365F91" w:themeColor="accent1" w:themeShade="BF"/>
              </w:rPr>
              <w:t>~</w:t>
            </w:r>
            <w:r w:rsidR="00DC7839">
              <w:rPr>
                <w:color w:val="365F91" w:themeColor="accent1" w:themeShade="BF"/>
              </w:rPr>
              <w:t>5</w:t>
            </w:r>
            <w:r w:rsidR="00AD0D0B" w:rsidRPr="00AD0D0B">
              <w:rPr>
                <w:color w:val="365F91" w:themeColor="accent1" w:themeShade="BF"/>
              </w:rPr>
              <w:t>%</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5C6710" w:rsidRPr="00010B84" w:rsidRDefault="005C6710" w:rsidP="00DC7839">
            <w:pPr>
              <w:autoSpaceDE w:val="0"/>
              <w:autoSpaceDN w:val="0"/>
              <w:snapToGrid w:val="0"/>
              <w:rPr>
                <w:rFonts w:eastAsiaTheme="minorEastAsia"/>
                <w:color w:val="365F91" w:themeColor="accent1" w:themeShade="BF"/>
                <w:sz w:val="18"/>
                <w:szCs w:val="18"/>
              </w:rPr>
            </w:pPr>
            <w:r w:rsidRPr="00010B84">
              <w:rPr>
                <w:color w:val="365F91" w:themeColor="accent1" w:themeShade="BF"/>
                <w:sz w:val="18"/>
                <w:szCs w:val="18"/>
              </w:rPr>
              <w:t xml:space="preserve">UL </w:t>
            </w:r>
            <w:r w:rsidR="00DC7839">
              <w:rPr>
                <w:color w:val="365F91" w:themeColor="accent1" w:themeShade="BF"/>
                <w:sz w:val="18"/>
                <w:szCs w:val="18"/>
              </w:rPr>
              <w:t>IFFT is included in FFT/IFFT</w:t>
            </w:r>
          </w:p>
        </w:tc>
      </w:tr>
      <w:tr w:rsidR="00DC7839" w:rsidTr="005C6710">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10" w:rsidRPr="00AD0D0B" w:rsidRDefault="005C6710" w:rsidP="008E128B">
            <w:pPr>
              <w:autoSpaceDE w:val="0"/>
              <w:autoSpaceDN w:val="0"/>
              <w:snapToGrid w:val="0"/>
              <w:rPr>
                <w:rFonts w:ascii="Calibri" w:eastAsiaTheme="minorEastAsia" w:hAnsi="Calibri"/>
                <w:sz w:val="22"/>
                <w:szCs w:val="22"/>
              </w:rPr>
            </w:pPr>
            <w:r w:rsidRPr="00AD0D0B">
              <w:t>MIMO specific processing blocks</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5C6710" w:rsidRPr="00AD0D0B" w:rsidRDefault="005C6710">
            <w:pPr>
              <w:autoSpaceDE w:val="0"/>
              <w:autoSpaceDN w:val="0"/>
              <w:snapToGrid w:val="0"/>
              <w:spacing w:line="360" w:lineRule="auto"/>
              <w:rPr>
                <w:rFonts w:ascii="Calibri" w:eastAsiaTheme="minorEastAsia" w:hAnsi="Calibri"/>
                <w:sz w:val="22"/>
                <w:szCs w:val="22"/>
              </w:rPr>
            </w:pPr>
            <w:r w:rsidRPr="00AD0D0B">
              <w:t>&lt;5%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5C6710" w:rsidRPr="00AD0D0B" w:rsidRDefault="005C6710">
            <w:pPr>
              <w:autoSpaceDE w:val="0"/>
              <w:autoSpaceDN w:val="0"/>
              <w:snapToGrid w:val="0"/>
              <w:spacing w:line="360" w:lineRule="auto"/>
              <w:rPr>
                <w:rFonts w:ascii="Calibri" w:eastAsiaTheme="minorEastAsia" w:hAnsi="Calibri"/>
                <w:sz w:val="22"/>
                <w:szCs w:val="22"/>
              </w:rPr>
            </w:pPr>
            <w:r w:rsidRPr="00AD0D0B">
              <w:t>~5%</w:t>
            </w:r>
          </w:p>
        </w:tc>
        <w:tc>
          <w:tcPr>
            <w:tcW w:w="1519" w:type="dxa"/>
            <w:tcBorders>
              <w:top w:val="nil"/>
              <w:left w:val="nil"/>
              <w:bottom w:val="single" w:sz="8" w:space="0" w:color="auto"/>
              <w:right w:val="single" w:sz="4" w:space="0" w:color="auto"/>
            </w:tcBorders>
          </w:tcPr>
          <w:p w:rsidR="005C6710" w:rsidRPr="00AD0D0B" w:rsidRDefault="005C6710" w:rsidP="00AD0D0B">
            <w:pPr>
              <w:rPr>
                <w:rFonts w:eastAsia="Times New Roman"/>
                <w:color w:val="365F91" w:themeColor="accent1" w:themeShade="BF"/>
                <w:szCs w:val="20"/>
              </w:rPr>
            </w:pPr>
            <w:r w:rsidRPr="00AD0D0B">
              <w:rPr>
                <w:rFonts w:eastAsia="Times New Roman"/>
                <w:color w:val="365F91" w:themeColor="accent1" w:themeShade="BF"/>
                <w:szCs w:val="20"/>
              </w:rPr>
              <w:t>remove</w:t>
            </w:r>
          </w:p>
        </w:tc>
        <w:tc>
          <w:tcPr>
            <w:tcW w:w="1710" w:type="dxa"/>
            <w:tcBorders>
              <w:top w:val="nil"/>
              <w:left w:val="single" w:sz="4" w:space="0" w:color="auto"/>
              <w:bottom w:val="single" w:sz="8" w:space="0" w:color="auto"/>
              <w:right w:val="single" w:sz="4" w:space="0" w:color="auto"/>
            </w:tcBorders>
          </w:tcPr>
          <w:p w:rsidR="005C6710" w:rsidRPr="00AD0D0B" w:rsidRDefault="005C6710">
            <w:pPr>
              <w:rPr>
                <w:rFonts w:eastAsia="Times New Roman"/>
                <w:color w:val="365F91" w:themeColor="accent1" w:themeShade="BF"/>
                <w:szCs w:val="20"/>
              </w:rPr>
            </w:pP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5C6710" w:rsidRPr="00010B84" w:rsidRDefault="00AD0D0B" w:rsidP="00AD0D0B">
            <w:pPr>
              <w:rPr>
                <w:rFonts w:eastAsia="Times New Roman"/>
                <w:color w:val="365F91" w:themeColor="accent1" w:themeShade="BF"/>
                <w:sz w:val="18"/>
                <w:szCs w:val="18"/>
              </w:rPr>
            </w:pPr>
            <w:r w:rsidRPr="00010B84">
              <w:rPr>
                <w:rFonts w:eastAsia="Times New Roman"/>
                <w:color w:val="365F91" w:themeColor="accent1" w:themeShade="BF"/>
                <w:sz w:val="18"/>
                <w:szCs w:val="18"/>
              </w:rPr>
              <w:t>Include in “r</w:t>
            </w:r>
            <w:r w:rsidR="005C6710" w:rsidRPr="00010B84">
              <w:rPr>
                <w:rFonts w:eastAsia="Times New Roman"/>
                <w:color w:val="365F91" w:themeColor="accent1" w:themeShade="BF"/>
                <w:sz w:val="18"/>
                <w:szCs w:val="18"/>
              </w:rPr>
              <w:t xml:space="preserve">eceiver </w:t>
            </w:r>
            <w:r w:rsidRPr="00010B84">
              <w:rPr>
                <w:rFonts w:eastAsia="Times New Roman"/>
                <w:color w:val="365F91" w:themeColor="accent1" w:themeShade="BF"/>
                <w:sz w:val="18"/>
                <w:szCs w:val="18"/>
              </w:rPr>
              <w:t xml:space="preserve">processing &amp; </w:t>
            </w:r>
            <w:r w:rsidR="005C6710" w:rsidRPr="00010B84">
              <w:rPr>
                <w:rFonts w:eastAsia="Times New Roman"/>
                <w:color w:val="365F91" w:themeColor="accent1" w:themeShade="BF"/>
                <w:sz w:val="18"/>
                <w:szCs w:val="18"/>
              </w:rPr>
              <w:t>demod</w:t>
            </w:r>
            <w:r w:rsidRPr="00010B84">
              <w:rPr>
                <w:rFonts w:eastAsia="Times New Roman"/>
                <w:color w:val="365F91" w:themeColor="accent1" w:themeShade="BF"/>
                <w:sz w:val="18"/>
                <w:szCs w:val="18"/>
              </w:rPr>
              <w:t>”</w:t>
            </w:r>
          </w:p>
        </w:tc>
      </w:tr>
      <w:tr w:rsidR="00DC7839" w:rsidTr="005C6710">
        <w:tc>
          <w:tcPr>
            <w:tcW w:w="2013" w:type="dxa"/>
            <w:tcBorders>
              <w:top w:val="nil"/>
              <w:left w:val="single" w:sz="8" w:space="0" w:color="auto"/>
              <w:bottom w:val="single" w:sz="18" w:space="0" w:color="auto"/>
              <w:right w:val="single" w:sz="8" w:space="0" w:color="auto"/>
            </w:tcBorders>
            <w:tcMar>
              <w:top w:w="0" w:type="dxa"/>
              <w:left w:w="108" w:type="dxa"/>
              <w:bottom w:w="0" w:type="dxa"/>
              <w:right w:w="108" w:type="dxa"/>
            </w:tcMar>
            <w:hideMark/>
          </w:tcPr>
          <w:p w:rsidR="005C6710" w:rsidRPr="00AD0D0B" w:rsidRDefault="005C6710" w:rsidP="008E128B">
            <w:pPr>
              <w:autoSpaceDE w:val="0"/>
              <w:autoSpaceDN w:val="0"/>
              <w:snapToGrid w:val="0"/>
              <w:rPr>
                <w:rFonts w:ascii="Calibri" w:eastAsiaTheme="minorEastAsia" w:hAnsi="Calibri"/>
                <w:sz w:val="22"/>
                <w:szCs w:val="22"/>
              </w:rPr>
            </w:pPr>
            <w:r w:rsidRPr="00AD0D0B">
              <w:t>Other</w:t>
            </w:r>
          </w:p>
        </w:tc>
        <w:tc>
          <w:tcPr>
            <w:tcW w:w="1155" w:type="dxa"/>
            <w:tcBorders>
              <w:top w:val="nil"/>
              <w:left w:val="nil"/>
              <w:bottom w:val="single" w:sz="18" w:space="0" w:color="auto"/>
              <w:right w:val="single" w:sz="8" w:space="0" w:color="auto"/>
            </w:tcBorders>
            <w:tcMar>
              <w:top w:w="0" w:type="dxa"/>
              <w:left w:w="108" w:type="dxa"/>
              <w:bottom w:w="0" w:type="dxa"/>
              <w:right w:w="108" w:type="dxa"/>
            </w:tcMar>
            <w:hideMark/>
          </w:tcPr>
          <w:p w:rsidR="005C6710" w:rsidRPr="00AD0D0B" w:rsidRDefault="005C6710">
            <w:pPr>
              <w:autoSpaceDE w:val="0"/>
              <w:autoSpaceDN w:val="0"/>
              <w:snapToGrid w:val="0"/>
              <w:spacing w:line="360" w:lineRule="auto"/>
              <w:rPr>
                <w:rFonts w:ascii="Calibri" w:eastAsiaTheme="minorEastAsia" w:hAnsi="Calibri"/>
                <w:sz w:val="22"/>
                <w:szCs w:val="22"/>
              </w:rPr>
            </w:pPr>
            <w:r w:rsidRPr="00AD0D0B">
              <w:t>~0%</w:t>
            </w:r>
          </w:p>
        </w:tc>
        <w:tc>
          <w:tcPr>
            <w:tcW w:w="1091" w:type="dxa"/>
            <w:tcBorders>
              <w:top w:val="nil"/>
              <w:left w:val="nil"/>
              <w:bottom w:val="single" w:sz="18" w:space="0" w:color="auto"/>
              <w:right w:val="single" w:sz="8" w:space="0" w:color="auto"/>
            </w:tcBorders>
            <w:tcMar>
              <w:top w:w="0" w:type="dxa"/>
              <w:left w:w="108" w:type="dxa"/>
              <w:bottom w:w="0" w:type="dxa"/>
              <w:right w:w="108" w:type="dxa"/>
            </w:tcMar>
            <w:hideMark/>
          </w:tcPr>
          <w:p w:rsidR="005C6710" w:rsidRPr="00AD0D0B" w:rsidRDefault="005C6710">
            <w:pPr>
              <w:rPr>
                <w:rFonts w:eastAsia="Times New Roman"/>
                <w:szCs w:val="20"/>
              </w:rPr>
            </w:pPr>
          </w:p>
        </w:tc>
        <w:tc>
          <w:tcPr>
            <w:tcW w:w="1519" w:type="dxa"/>
            <w:tcBorders>
              <w:top w:val="nil"/>
              <w:left w:val="nil"/>
              <w:bottom w:val="single" w:sz="18" w:space="0" w:color="auto"/>
              <w:right w:val="single" w:sz="4" w:space="0" w:color="auto"/>
            </w:tcBorders>
          </w:tcPr>
          <w:p w:rsidR="005C6710" w:rsidRPr="00AD0D0B" w:rsidRDefault="005C6710" w:rsidP="00AD0D0B">
            <w:pPr>
              <w:rPr>
                <w:rFonts w:eastAsia="Times New Roman"/>
                <w:color w:val="365F91" w:themeColor="accent1" w:themeShade="BF"/>
                <w:szCs w:val="20"/>
              </w:rPr>
            </w:pPr>
            <w:r w:rsidRPr="00AD0D0B">
              <w:rPr>
                <w:rFonts w:eastAsia="Times New Roman"/>
                <w:color w:val="365F91" w:themeColor="accent1" w:themeShade="BF"/>
                <w:szCs w:val="20"/>
              </w:rPr>
              <w:t xml:space="preserve">Same </w:t>
            </w:r>
            <w:r w:rsidR="008E128B">
              <w:rPr>
                <w:rFonts w:eastAsia="Times New Roman"/>
                <w:color w:val="365F91" w:themeColor="accent1" w:themeShade="BF"/>
                <w:szCs w:val="20"/>
              </w:rPr>
              <w:t>term</w:t>
            </w:r>
          </w:p>
        </w:tc>
        <w:tc>
          <w:tcPr>
            <w:tcW w:w="1710" w:type="dxa"/>
            <w:tcBorders>
              <w:top w:val="nil"/>
              <w:left w:val="single" w:sz="4" w:space="0" w:color="auto"/>
              <w:bottom w:val="single" w:sz="18" w:space="0" w:color="auto"/>
              <w:right w:val="single" w:sz="4" w:space="0" w:color="auto"/>
            </w:tcBorders>
          </w:tcPr>
          <w:p w:rsidR="005C6710" w:rsidRPr="00AD0D0B" w:rsidRDefault="008E128B">
            <w:pPr>
              <w:rPr>
                <w:rFonts w:eastAsia="Times New Roman"/>
                <w:color w:val="365F91" w:themeColor="accent1" w:themeShade="BF"/>
                <w:szCs w:val="20"/>
              </w:rPr>
            </w:pPr>
            <w:r>
              <w:rPr>
                <w:rFonts w:eastAsia="Times New Roman"/>
                <w:color w:val="365F91" w:themeColor="accent1" w:themeShade="BF"/>
                <w:szCs w:val="20"/>
              </w:rPr>
              <w:t>~10</w:t>
            </w:r>
            <w:r w:rsidR="005C6710" w:rsidRPr="00AD0D0B">
              <w:rPr>
                <w:rFonts w:eastAsia="Times New Roman"/>
                <w:color w:val="365F91" w:themeColor="accent1" w:themeShade="BF"/>
                <w:szCs w:val="20"/>
              </w:rPr>
              <w:t>%</w:t>
            </w:r>
          </w:p>
        </w:tc>
        <w:tc>
          <w:tcPr>
            <w:tcW w:w="2376" w:type="dxa"/>
            <w:tcBorders>
              <w:top w:val="nil"/>
              <w:left w:val="single" w:sz="4" w:space="0" w:color="auto"/>
              <w:bottom w:val="single" w:sz="18" w:space="0" w:color="auto"/>
              <w:right w:val="single" w:sz="8" w:space="0" w:color="auto"/>
            </w:tcBorders>
            <w:tcMar>
              <w:top w:w="0" w:type="dxa"/>
              <w:left w:w="108" w:type="dxa"/>
              <w:bottom w:w="0" w:type="dxa"/>
              <w:right w:w="108" w:type="dxa"/>
            </w:tcMar>
            <w:hideMark/>
          </w:tcPr>
          <w:p w:rsidR="005C6710" w:rsidRPr="00010B84" w:rsidRDefault="005C6710">
            <w:pPr>
              <w:rPr>
                <w:rFonts w:eastAsia="Times New Roman"/>
                <w:color w:val="365F91" w:themeColor="accent1" w:themeShade="BF"/>
                <w:sz w:val="18"/>
                <w:szCs w:val="18"/>
              </w:rPr>
            </w:pPr>
          </w:p>
        </w:tc>
      </w:tr>
      <w:tr w:rsidR="00DC7839" w:rsidTr="005C6710">
        <w:tc>
          <w:tcPr>
            <w:tcW w:w="2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10" w:rsidRPr="00AD0D0B" w:rsidRDefault="005C6710">
            <w:pPr>
              <w:autoSpaceDE w:val="0"/>
              <w:autoSpaceDN w:val="0"/>
              <w:snapToGrid w:val="0"/>
              <w:spacing w:line="360" w:lineRule="auto"/>
              <w:rPr>
                <w:rFonts w:ascii="Calibri" w:eastAsiaTheme="minorEastAsia" w:hAnsi="Calibri"/>
                <w:sz w:val="22"/>
                <w:szCs w:val="22"/>
              </w:rPr>
            </w:pPr>
            <w:r w:rsidRPr="00AD0D0B">
              <w:t>Total</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5C6710" w:rsidRPr="00AD0D0B" w:rsidRDefault="005C6710">
            <w:pPr>
              <w:autoSpaceDE w:val="0"/>
              <w:autoSpaceDN w:val="0"/>
              <w:snapToGrid w:val="0"/>
              <w:spacing w:line="360" w:lineRule="auto"/>
              <w:rPr>
                <w:rFonts w:ascii="Calibri" w:eastAsiaTheme="minorEastAsia" w:hAnsi="Calibri"/>
                <w:sz w:val="22"/>
                <w:szCs w:val="22"/>
              </w:rPr>
            </w:pPr>
            <w:r w:rsidRPr="00AD0D0B">
              <w:t>100-110%</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5C6710" w:rsidRPr="00AD0D0B" w:rsidRDefault="005C6710">
            <w:pPr>
              <w:autoSpaceDE w:val="0"/>
              <w:autoSpaceDN w:val="0"/>
              <w:snapToGrid w:val="0"/>
              <w:spacing w:line="360" w:lineRule="auto"/>
              <w:rPr>
                <w:rFonts w:ascii="Calibri" w:eastAsiaTheme="minorEastAsia" w:hAnsi="Calibri"/>
                <w:sz w:val="22"/>
                <w:szCs w:val="22"/>
              </w:rPr>
            </w:pPr>
            <w:r w:rsidRPr="00AD0D0B">
              <w:t>100~110%</w:t>
            </w:r>
          </w:p>
        </w:tc>
        <w:tc>
          <w:tcPr>
            <w:tcW w:w="1519" w:type="dxa"/>
            <w:tcBorders>
              <w:top w:val="nil"/>
              <w:left w:val="nil"/>
              <w:bottom w:val="single" w:sz="8" w:space="0" w:color="auto"/>
              <w:right w:val="single" w:sz="4" w:space="0" w:color="auto"/>
            </w:tcBorders>
          </w:tcPr>
          <w:p w:rsidR="005C6710" w:rsidRDefault="005C6710">
            <w:pPr>
              <w:rPr>
                <w:rFonts w:eastAsia="Times New Roman"/>
                <w:szCs w:val="20"/>
              </w:rPr>
            </w:pPr>
          </w:p>
        </w:tc>
        <w:tc>
          <w:tcPr>
            <w:tcW w:w="1710" w:type="dxa"/>
            <w:tcBorders>
              <w:top w:val="nil"/>
              <w:left w:val="single" w:sz="4" w:space="0" w:color="auto"/>
              <w:bottom w:val="single" w:sz="8" w:space="0" w:color="auto"/>
              <w:right w:val="single" w:sz="4" w:space="0" w:color="auto"/>
            </w:tcBorders>
          </w:tcPr>
          <w:p w:rsidR="005C6710" w:rsidRPr="008E128B" w:rsidRDefault="00DC7839" w:rsidP="00DC7839">
            <w:pPr>
              <w:rPr>
                <w:rFonts w:eastAsia="Times New Roman"/>
                <w:color w:val="365F91" w:themeColor="accent1" w:themeShade="BF"/>
                <w:szCs w:val="20"/>
              </w:rPr>
            </w:pPr>
            <w:r>
              <w:rPr>
                <w:rFonts w:eastAsia="Times New Roman"/>
                <w:color w:val="365F91" w:themeColor="accent1" w:themeShade="BF"/>
                <w:szCs w:val="20"/>
              </w:rPr>
              <w:t>100</w:t>
            </w:r>
            <w:r w:rsidR="008E128B">
              <w:rPr>
                <w:rFonts w:eastAsia="Times New Roman"/>
                <w:color w:val="365F91" w:themeColor="accent1" w:themeShade="BF"/>
                <w:szCs w:val="20"/>
              </w:rPr>
              <w:t>%~</w:t>
            </w:r>
            <w:r>
              <w:rPr>
                <w:rFonts w:eastAsia="Times New Roman"/>
                <w:color w:val="365F91" w:themeColor="accent1" w:themeShade="BF"/>
                <w:szCs w:val="20"/>
              </w:rPr>
              <w:t>115</w:t>
            </w:r>
            <w:r w:rsidR="008E128B" w:rsidRPr="008E128B">
              <w:rPr>
                <w:rFonts w:eastAsia="Times New Roman"/>
                <w:color w:val="365F91" w:themeColor="accent1" w:themeShade="BF"/>
                <w:szCs w:val="20"/>
              </w:rPr>
              <w:t>%</w:t>
            </w:r>
          </w:p>
        </w:tc>
        <w:tc>
          <w:tcPr>
            <w:tcW w:w="237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5C6710" w:rsidRDefault="005C6710">
            <w:pPr>
              <w:rPr>
                <w:rFonts w:eastAsia="Times New Roman"/>
                <w:szCs w:val="20"/>
              </w:rPr>
            </w:pPr>
          </w:p>
        </w:tc>
      </w:tr>
    </w:tbl>
    <w:p w:rsidR="009A5C1B" w:rsidRDefault="009A5C1B" w:rsidP="009A5C1B">
      <w:pPr>
        <w:pStyle w:val="ListParagraph"/>
        <w:ind w:left="400"/>
        <w:rPr>
          <w:rFonts w:ascii="Calibri" w:eastAsia="SimSun" w:hAnsi="Calibri"/>
          <w:color w:val="000000"/>
          <w:sz w:val="22"/>
          <w:szCs w:val="22"/>
          <w:lang w:val="en-GB"/>
        </w:rPr>
      </w:pPr>
    </w:p>
    <w:p w:rsidR="00D0507F" w:rsidRDefault="00D0507F" w:rsidP="009A5C1B">
      <w:pPr>
        <w:pStyle w:val="ListParagraph"/>
        <w:ind w:left="400"/>
        <w:rPr>
          <w:rFonts w:ascii="Calibri" w:eastAsia="SimSun" w:hAnsi="Calibri"/>
          <w:color w:val="000000"/>
          <w:sz w:val="22"/>
          <w:szCs w:val="22"/>
          <w:lang w:val="en-GB"/>
        </w:rPr>
      </w:pPr>
    </w:p>
    <w:p w:rsidR="00D0507F" w:rsidRDefault="00D0507F" w:rsidP="002077E0">
      <w:pPr>
        <w:pStyle w:val="BodyText"/>
      </w:pPr>
      <w:r>
        <w:t xml:space="preserve">We </w:t>
      </w:r>
      <w:r w:rsidR="006C2264">
        <w:t>notice</w:t>
      </w:r>
      <w:r>
        <w:t xml:space="preserve"> that </w:t>
      </w:r>
    </w:p>
    <w:p w:rsidR="00D0507F" w:rsidRDefault="00D0507F" w:rsidP="00D0507F">
      <w:pPr>
        <w:pStyle w:val="BodyText"/>
        <w:numPr>
          <w:ilvl w:val="0"/>
          <w:numId w:val="22"/>
        </w:numPr>
      </w:pPr>
      <w:r>
        <w:t xml:space="preserve">RF functional blocks are aligned among </w:t>
      </w:r>
      <w:r w:rsidR="00E4754F">
        <w:t xml:space="preserve">several </w:t>
      </w:r>
      <w:r>
        <w:t>companies. The percentage cost is also reasonably aligned</w:t>
      </w:r>
      <w:r w:rsidR="006C2264">
        <w:t>,</w:t>
      </w:r>
      <w:r>
        <w:t xml:space="preserve"> with RF transceiver </w:t>
      </w:r>
      <w:r w:rsidR="006C2264">
        <w:t>block</w:t>
      </w:r>
      <w:r>
        <w:t xml:space="preserve"> being a little different.</w:t>
      </w:r>
    </w:p>
    <w:p w:rsidR="005D58EC" w:rsidRDefault="00D0507F" w:rsidP="005D58EC">
      <w:pPr>
        <w:pStyle w:val="BodyText"/>
        <w:numPr>
          <w:ilvl w:val="0"/>
          <w:numId w:val="22"/>
        </w:numPr>
      </w:pPr>
      <w:r>
        <w:t xml:space="preserve">Baseband processing functional division &amp; grouping still has some difference. </w:t>
      </w:r>
      <w:r w:rsidR="00907B63">
        <w:t xml:space="preserve">It seems to be worthwhile to list </w:t>
      </w:r>
      <w:r>
        <w:t xml:space="preserve">functional blocks whose cost will likely scale with bandwidth (i.e., sampling rate) </w:t>
      </w:r>
      <w:r w:rsidR="005D58EC">
        <w:t>or</w:t>
      </w:r>
      <w:r>
        <w:t xml:space="preserve"> data rate</w:t>
      </w:r>
      <w:r w:rsidR="00907B63">
        <w:t>, thus the cost reduction</w:t>
      </w:r>
      <w:r w:rsidR="005D58EC">
        <w:t xml:space="preserve"> due to change in bandwidth support and/or data rate </w:t>
      </w:r>
      <w:r w:rsidR="00907B63">
        <w:t xml:space="preserve">can be accounted for more clearly. </w:t>
      </w:r>
    </w:p>
    <w:p w:rsidR="00907B63" w:rsidRPr="00907B63" w:rsidRDefault="00907B63" w:rsidP="00907B63">
      <w:pPr>
        <w:pStyle w:val="BodyText"/>
      </w:pPr>
      <w:r w:rsidRPr="00907B63">
        <w:t xml:space="preserve">As to how to </w:t>
      </w:r>
      <w:r w:rsidRPr="00907B63">
        <w:rPr>
          <w:color w:val="000000"/>
          <w:lang w:val="en-GB"/>
        </w:rPr>
        <w:t>capture the importance/degree/extent of cost contribution</w:t>
      </w:r>
      <w:r>
        <w:rPr>
          <w:color w:val="000000"/>
          <w:lang w:val="en-GB"/>
        </w:rPr>
        <w:t xml:space="preserve">, we </w:t>
      </w:r>
      <w:r w:rsidR="005D58EC">
        <w:rPr>
          <w:color w:val="000000"/>
          <w:lang w:val="en-GB"/>
        </w:rPr>
        <w:t xml:space="preserve">prefer to use percentage cost of </w:t>
      </w:r>
      <w:r w:rsidR="00E4754F">
        <w:rPr>
          <w:color w:val="000000"/>
          <w:lang w:val="en-GB"/>
        </w:rPr>
        <w:t xml:space="preserve">the </w:t>
      </w:r>
      <w:r w:rsidR="005D58EC">
        <w:rPr>
          <w:color w:val="000000"/>
          <w:lang w:val="en-GB"/>
        </w:rPr>
        <w:t>overall total RF+BB</w:t>
      </w:r>
      <w:r w:rsidR="00E4754F">
        <w:rPr>
          <w:color w:val="000000"/>
          <w:lang w:val="en-GB"/>
        </w:rPr>
        <w:t xml:space="preserve"> cost</w:t>
      </w:r>
      <w:r w:rsidR="005D58EC">
        <w:rPr>
          <w:color w:val="000000"/>
          <w:lang w:val="en-GB"/>
        </w:rPr>
        <w:t>. For example, 50% reduction in RF will translate into 50%x40%=20% of total cost (assuming RF is 40% of overall). Another aspect that is worthwhile to note is that the percentage cost reduction of each technique contributes in a multiplicative fashion to overall saving</w:t>
      </w:r>
      <w:r w:rsidR="00FC5CFE">
        <w:rPr>
          <w:color w:val="000000"/>
          <w:lang w:val="en-GB"/>
        </w:rPr>
        <w:t xml:space="preserve">, because each percentage saving is with respect to the </w:t>
      </w:r>
      <w:r w:rsidR="006C2264">
        <w:rPr>
          <w:color w:val="000000"/>
          <w:lang w:val="en-GB"/>
        </w:rPr>
        <w:t xml:space="preserve">cost of the </w:t>
      </w:r>
      <w:r w:rsidR="00FC5CFE">
        <w:rPr>
          <w:color w:val="000000"/>
          <w:lang w:val="en-GB"/>
        </w:rPr>
        <w:t>same reference modem</w:t>
      </w:r>
      <w:r w:rsidR="005D58EC">
        <w:rPr>
          <w:color w:val="000000"/>
          <w:lang w:val="en-GB"/>
        </w:rPr>
        <w:t xml:space="preserve">. For example, </w:t>
      </w:r>
      <w:r w:rsidR="00E4754F">
        <w:rPr>
          <w:color w:val="000000"/>
          <w:lang w:val="en-GB"/>
        </w:rPr>
        <w:t xml:space="preserve">if </w:t>
      </w:r>
      <w:r w:rsidR="005D58EC">
        <w:rPr>
          <w:color w:val="000000"/>
          <w:lang w:val="en-GB"/>
        </w:rPr>
        <w:t>technique #1&amp;2 provides 20% and 10% of cost saving, respectively</w:t>
      </w:r>
      <w:r w:rsidR="00E4754F">
        <w:rPr>
          <w:color w:val="000000"/>
          <w:lang w:val="en-GB"/>
        </w:rPr>
        <w:t>, w</w:t>
      </w:r>
      <w:r w:rsidR="005D58EC">
        <w:rPr>
          <w:color w:val="000000"/>
          <w:lang w:val="en-GB"/>
        </w:rPr>
        <w:t xml:space="preserve">hen both are applied, they contribute to 1-(1-20%)(1-10%)=18% </w:t>
      </w:r>
      <w:r w:rsidR="00FC5CFE">
        <w:rPr>
          <w:color w:val="000000"/>
          <w:lang w:val="en-GB"/>
        </w:rPr>
        <w:t xml:space="preserve"> </w:t>
      </w:r>
      <w:r w:rsidR="005D58EC">
        <w:rPr>
          <w:color w:val="000000"/>
          <w:lang w:val="en-GB"/>
        </w:rPr>
        <w:t>of cos</w:t>
      </w:r>
      <w:r w:rsidR="00FC5CFE">
        <w:rPr>
          <w:color w:val="000000"/>
          <w:lang w:val="en-GB"/>
        </w:rPr>
        <w:t>t saving</w:t>
      </w:r>
      <w:r w:rsidR="006C2264">
        <w:rPr>
          <w:color w:val="000000"/>
          <w:lang w:val="en-GB"/>
        </w:rPr>
        <w:t xml:space="preserve"> in combination</w:t>
      </w:r>
      <w:r w:rsidR="00FC5CFE">
        <w:rPr>
          <w:color w:val="000000"/>
          <w:lang w:val="en-GB"/>
        </w:rPr>
        <w:t xml:space="preserve">. Therefore it is important to not to doubt count any common saving factor. For example, BW reduction can results in HARQ buffer reduction. Peak data rate reduction also reduces the HARQ buffer. </w:t>
      </w:r>
      <w:r w:rsidR="005D58EC">
        <w:rPr>
          <w:color w:val="000000"/>
          <w:lang w:val="en-GB"/>
        </w:rPr>
        <w:t xml:space="preserve">  </w:t>
      </w:r>
      <w:r w:rsidRPr="00907B63">
        <w:rPr>
          <w:color w:val="000000"/>
          <w:lang w:val="en-GB"/>
        </w:rPr>
        <w:t xml:space="preserve"> </w:t>
      </w:r>
    </w:p>
    <w:p w:rsidR="00907B63" w:rsidRPr="009A5C1B" w:rsidRDefault="00907B63" w:rsidP="00907B63">
      <w:pPr>
        <w:pStyle w:val="BodyText"/>
        <w:rPr>
          <w:b/>
        </w:rPr>
      </w:pPr>
      <w:r>
        <w:rPr>
          <w:b/>
        </w:rPr>
        <w:lastRenderedPageBreak/>
        <w:t>Proposal:</w:t>
      </w:r>
    </w:p>
    <w:p w:rsidR="00451D99" w:rsidRPr="006C2264" w:rsidRDefault="00451D99" w:rsidP="00907B63">
      <w:pPr>
        <w:pStyle w:val="BodyText"/>
        <w:numPr>
          <w:ilvl w:val="0"/>
          <w:numId w:val="17"/>
        </w:numPr>
        <w:rPr>
          <w:b/>
        </w:rPr>
      </w:pPr>
      <w:r w:rsidRPr="006C2264">
        <w:rPr>
          <w:b/>
        </w:rPr>
        <w:t xml:space="preserve">List the cost factors according to functional blocks, using a percentage cost value, with respect to RF or baseband. </w:t>
      </w:r>
    </w:p>
    <w:p w:rsidR="00FC5CFE" w:rsidRPr="006C2264" w:rsidRDefault="00FC5CFE" w:rsidP="00907B63">
      <w:pPr>
        <w:pStyle w:val="BodyText"/>
        <w:numPr>
          <w:ilvl w:val="0"/>
          <w:numId w:val="17"/>
        </w:numPr>
        <w:rPr>
          <w:b/>
        </w:rPr>
      </w:pPr>
      <w:r w:rsidRPr="006C2264">
        <w:rPr>
          <w:b/>
        </w:rPr>
        <w:t>It is worthwhile to list functional blocks whose cost will likely scale with bandwidth (i.e., sampling rate) or data rate, thus the cost reduction due to change in bandwidth support and/or data rate can be accounted for more clearly</w:t>
      </w:r>
    </w:p>
    <w:p w:rsidR="00907B63" w:rsidRPr="006C2264" w:rsidRDefault="00907B63" w:rsidP="00907B63">
      <w:pPr>
        <w:pStyle w:val="BodyText"/>
        <w:numPr>
          <w:ilvl w:val="0"/>
          <w:numId w:val="17"/>
        </w:numPr>
        <w:rPr>
          <w:b/>
        </w:rPr>
      </w:pPr>
      <w:r w:rsidRPr="006C2264">
        <w:rPr>
          <w:b/>
        </w:rPr>
        <w:t xml:space="preserve">In order to understand the overall contribution to cost reduction of each technique, especially in </w:t>
      </w:r>
      <w:r w:rsidR="00451D99" w:rsidRPr="006C2264">
        <w:rPr>
          <w:b/>
        </w:rPr>
        <w:t xml:space="preserve">combination with </w:t>
      </w:r>
      <w:r w:rsidRPr="006C2264">
        <w:rPr>
          <w:b/>
        </w:rPr>
        <w:t xml:space="preserve">other cost reduction techniques, it should be noted that the relative percentage savings are multiplicative in effect.    </w:t>
      </w:r>
    </w:p>
    <w:p w:rsidR="00FC5CFE" w:rsidRDefault="00FC5CFE" w:rsidP="00FC5CFE">
      <w:pPr>
        <w:pStyle w:val="Heading1"/>
        <w:numPr>
          <w:ilvl w:val="0"/>
          <w:numId w:val="1"/>
        </w:numPr>
        <w:spacing w:after="120"/>
        <w:ind w:left="540" w:hanging="540"/>
        <w:rPr>
          <w:rFonts w:eastAsia="PMingLiU"/>
          <w:sz w:val="32"/>
          <w:lang w:eastAsia="zh-TW"/>
        </w:rPr>
      </w:pPr>
      <w:r>
        <w:rPr>
          <w:sz w:val="32"/>
        </w:rPr>
        <w:t>Text Proposal</w:t>
      </w:r>
      <w:r w:rsidRPr="00297397">
        <w:rPr>
          <w:sz w:val="32"/>
        </w:rPr>
        <w:t xml:space="preserve"> </w:t>
      </w:r>
    </w:p>
    <w:p w:rsidR="00FC5CFE" w:rsidRDefault="00FC5CFE" w:rsidP="00FC5CFE">
      <w:pPr>
        <w:pStyle w:val="Heading2"/>
        <w:rPr>
          <w:i/>
          <w:sz w:val="18"/>
          <w:szCs w:val="18"/>
        </w:rPr>
      </w:pPr>
      <w:r w:rsidRPr="00923FC9">
        <w:rPr>
          <w:i/>
          <w:sz w:val="18"/>
          <w:szCs w:val="18"/>
        </w:rPr>
        <w:t xml:space="preserve">5.3 </w:t>
      </w:r>
      <w:r w:rsidRPr="00923FC9">
        <w:rPr>
          <w:i/>
          <w:sz w:val="18"/>
          <w:szCs w:val="18"/>
        </w:rPr>
        <w:tab/>
        <w:t>Cost drivers of reference LTE modem</w:t>
      </w:r>
    </w:p>
    <w:p w:rsidR="006C2264" w:rsidRDefault="006C2264" w:rsidP="00FC5CFE">
      <w:pPr>
        <w:pStyle w:val="BodyText"/>
        <w:rPr>
          <w:u w:val="single"/>
        </w:rPr>
      </w:pPr>
    </w:p>
    <w:p w:rsidR="006C2264" w:rsidRDefault="006C2264" w:rsidP="00FC5CFE">
      <w:pPr>
        <w:pStyle w:val="BodyText"/>
        <w:rPr>
          <w:u w:val="single"/>
        </w:rPr>
      </w:pPr>
      <w:r>
        <w:rPr>
          <w:u w:val="single"/>
        </w:rPr>
        <w:t>--------------------------Start------------------------------------</w:t>
      </w:r>
    </w:p>
    <w:p w:rsidR="00FC5CFE" w:rsidRPr="00451D99" w:rsidRDefault="00FC5CFE" w:rsidP="00FC5CFE">
      <w:pPr>
        <w:pStyle w:val="BodyText"/>
        <w:rPr>
          <w:u w:val="single"/>
        </w:rPr>
      </w:pPr>
      <w:r w:rsidRPr="00451D99">
        <w:rPr>
          <w:u w:val="single"/>
        </w:rPr>
        <w:t xml:space="preserve">Cost drivers breakdown </w:t>
      </w:r>
      <w:r w:rsidR="00451D99" w:rsidRPr="00451D99">
        <w:rPr>
          <w:u w:val="single"/>
        </w:rPr>
        <w:t xml:space="preserve">in this section </w:t>
      </w:r>
      <w:r w:rsidRPr="00451D99">
        <w:rPr>
          <w:u w:val="single"/>
        </w:rPr>
        <w:t>is used to conduct quantitative cost analysis for different proposed techniques</w:t>
      </w:r>
      <w:r w:rsidR="00451D99" w:rsidRPr="00451D99">
        <w:rPr>
          <w:u w:val="single"/>
        </w:rPr>
        <w:t xml:space="preserve">. The cost drivers are listed according to functional blocks, </w:t>
      </w:r>
      <w:r w:rsidR="00296ED1">
        <w:rPr>
          <w:u w:val="single"/>
        </w:rPr>
        <w:t>each with</w:t>
      </w:r>
      <w:r w:rsidR="00451D99" w:rsidRPr="00451D99">
        <w:rPr>
          <w:u w:val="single"/>
        </w:rPr>
        <w:t xml:space="preserve"> a percentage cost value</w:t>
      </w:r>
      <w:r w:rsidR="00296ED1">
        <w:rPr>
          <w:u w:val="single"/>
        </w:rPr>
        <w:t xml:space="preserve"> </w:t>
      </w:r>
      <w:r w:rsidR="00451D99" w:rsidRPr="00451D99">
        <w:rPr>
          <w:u w:val="single"/>
        </w:rPr>
        <w:t xml:space="preserve">with respect to RF or baseband </w:t>
      </w:r>
      <w:r w:rsidR="006C2264">
        <w:rPr>
          <w:u w:val="single"/>
        </w:rPr>
        <w:t>portion</w:t>
      </w:r>
      <w:r w:rsidR="00451D99" w:rsidRPr="00451D99">
        <w:rPr>
          <w:u w:val="single"/>
        </w:rPr>
        <w:t xml:space="preserve">. Whenever possible, functional blocks whose cost will likely scale with bandwidth (i.e., sampling rate) or data rate are listed </w:t>
      </w:r>
      <w:r w:rsidR="00296ED1">
        <w:rPr>
          <w:u w:val="single"/>
        </w:rPr>
        <w:t>separately</w:t>
      </w:r>
      <w:r w:rsidR="00451D99" w:rsidRPr="00451D99">
        <w:rPr>
          <w:u w:val="single"/>
        </w:rPr>
        <w:t>, thus the cost reduction due to change in bandwidth support and/or data rate can be accounted for more easily</w:t>
      </w:r>
      <w:r w:rsidR="00296ED1">
        <w:rPr>
          <w:u w:val="single"/>
        </w:rPr>
        <w:t xml:space="preserve"> in overall cost saving analysis</w:t>
      </w:r>
      <w:r w:rsidR="00451D99" w:rsidRPr="00451D99">
        <w:rPr>
          <w:u w:val="single"/>
        </w:rPr>
        <w:t xml:space="preserve">. In order to understand the overall contribution to cost reduction </w:t>
      </w:r>
      <w:r w:rsidR="00296ED1">
        <w:rPr>
          <w:u w:val="single"/>
        </w:rPr>
        <w:t>from</w:t>
      </w:r>
      <w:r w:rsidR="00451D99" w:rsidRPr="00451D99">
        <w:rPr>
          <w:u w:val="single"/>
        </w:rPr>
        <w:t xml:space="preserve"> </w:t>
      </w:r>
      <w:r w:rsidR="00296ED1">
        <w:rPr>
          <w:u w:val="single"/>
        </w:rPr>
        <w:t>a</w:t>
      </w:r>
      <w:r w:rsidR="00451D99" w:rsidRPr="00451D99">
        <w:rPr>
          <w:u w:val="single"/>
        </w:rPr>
        <w:t xml:space="preserve"> technique, especially in combination with other cost reduction techniques, it should be noted that the relative percentage savings </w:t>
      </w:r>
      <w:r w:rsidR="00296ED1">
        <w:rPr>
          <w:u w:val="single"/>
        </w:rPr>
        <w:t>of each different technique are multiplicative</w:t>
      </w:r>
      <w:r w:rsidR="00451D99" w:rsidRPr="00451D99">
        <w:rPr>
          <w:u w:val="single"/>
        </w:rPr>
        <w:t xml:space="preserve">.    </w:t>
      </w:r>
      <w:r w:rsidRPr="00451D99">
        <w:rPr>
          <w:u w:val="single"/>
        </w:rPr>
        <w:t xml:space="preserve">  </w:t>
      </w:r>
    </w:p>
    <w:p w:rsidR="00451D99" w:rsidRDefault="00451D99" w:rsidP="00FC5CFE">
      <w:pPr>
        <w:pStyle w:val="BodyText"/>
        <w:rPr>
          <w:u w:val="single"/>
        </w:rPr>
      </w:pPr>
      <w:r w:rsidRPr="00451D99">
        <w:rPr>
          <w:u w:val="single"/>
        </w:rPr>
        <w:t>[</w:t>
      </w:r>
      <w:r>
        <w:rPr>
          <w:u w:val="single"/>
        </w:rPr>
        <w:t>Insert the t</w:t>
      </w:r>
      <w:r w:rsidRPr="00451D99">
        <w:rPr>
          <w:u w:val="single"/>
        </w:rPr>
        <w:t>able of agreed cost breakdown, with percentage cost and description of included components.]</w:t>
      </w:r>
    </w:p>
    <w:p w:rsidR="006C2264" w:rsidRPr="00451D99" w:rsidRDefault="006C2264" w:rsidP="00FC5CFE">
      <w:pPr>
        <w:pStyle w:val="BodyText"/>
        <w:rPr>
          <w:u w:val="single"/>
        </w:rPr>
      </w:pPr>
      <w:r>
        <w:rPr>
          <w:u w:val="single"/>
        </w:rPr>
        <w:t>--------------------------end--------------------------------------</w:t>
      </w:r>
    </w:p>
    <w:p w:rsidR="00FC5CFE" w:rsidRPr="00923FC9" w:rsidRDefault="00FC5CFE" w:rsidP="00FC5CFE">
      <w:pPr>
        <w:rPr>
          <w:i/>
          <w:color w:val="FF0000"/>
        </w:rPr>
      </w:pPr>
      <w:r w:rsidRPr="00923FC9">
        <w:rPr>
          <w:i/>
          <w:color w:val="FF0000"/>
          <w:sz w:val="18"/>
          <w:szCs w:val="18"/>
        </w:rPr>
        <w:t>[Editor’s Note: This sub-clause lists the major cost contributors in an LTE UE specifically RF and baseband. A possible representation is a relative cost in a scale of 1 to 10]</w:t>
      </w:r>
      <w:r w:rsidRPr="00923FC9">
        <w:rPr>
          <w:i/>
          <w:color w:val="FF0000"/>
        </w:rPr>
        <w:t xml:space="preserve">  </w:t>
      </w:r>
    </w:p>
    <w:p w:rsidR="00907B63" w:rsidRPr="00754790" w:rsidRDefault="00907B63" w:rsidP="00907B63">
      <w:pPr>
        <w:pStyle w:val="BodyText"/>
      </w:pPr>
    </w:p>
    <w:bookmarkEnd w:id="7"/>
    <w:bookmarkEnd w:id="8"/>
    <w:bookmarkEnd w:id="9"/>
    <w:bookmarkEnd w:id="10"/>
    <w:bookmarkEnd w:id="11"/>
    <w:bookmarkEnd w:id="12"/>
    <w:p w:rsidR="00135CD9" w:rsidRDefault="00297397" w:rsidP="003F6B07">
      <w:pPr>
        <w:pStyle w:val="Heading1"/>
        <w:numPr>
          <w:ilvl w:val="0"/>
          <w:numId w:val="1"/>
        </w:numPr>
        <w:spacing w:after="120"/>
        <w:ind w:left="540" w:hanging="540"/>
        <w:rPr>
          <w:rFonts w:eastAsia="PMingLiU"/>
          <w:sz w:val="32"/>
          <w:lang w:eastAsia="zh-TW"/>
        </w:rPr>
      </w:pPr>
      <w:r w:rsidRPr="00297397">
        <w:rPr>
          <w:sz w:val="32"/>
        </w:rPr>
        <w:t>Conclusion</w:t>
      </w:r>
      <w:r w:rsidR="004F4618" w:rsidRPr="00297397">
        <w:rPr>
          <w:sz w:val="32"/>
        </w:rPr>
        <w:t xml:space="preserve"> </w:t>
      </w:r>
    </w:p>
    <w:p w:rsidR="00791EBE" w:rsidRDefault="00791EBE" w:rsidP="00420482">
      <w:pPr>
        <w:pStyle w:val="BodyText"/>
      </w:pPr>
      <w:r>
        <w:t xml:space="preserve">This contribution shares </w:t>
      </w:r>
      <w:r w:rsidR="006C2264">
        <w:rPr>
          <w:rFonts w:eastAsia="SimSun"/>
          <w:lang w:eastAsia="zh-CN"/>
        </w:rPr>
        <w:t>our view and proposal for cost drivers and how they should be accounted for in cost analysis</w:t>
      </w:r>
      <w:r>
        <w:t xml:space="preserve">: </w:t>
      </w:r>
    </w:p>
    <w:p w:rsidR="006C2264" w:rsidRPr="00451D99" w:rsidRDefault="006C2264" w:rsidP="006C2264">
      <w:pPr>
        <w:pStyle w:val="BodyText"/>
        <w:numPr>
          <w:ilvl w:val="0"/>
          <w:numId w:val="13"/>
        </w:numPr>
        <w:rPr>
          <w:b/>
        </w:rPr>
      </w:pPr>
      <w:r w:rsidRPr="00451D99">
        <w:rPr>
          <w:b/>
        </w:rPr>
        <w:t xml:space="preserve">Cost drivers breakdown should serve the purpose of </w:t>
      </w:r>
      <w:r>
        <w:rPr>
          <w:b/>
        </w:rPr>
        <w:t>conducting</w:t>
      </w:r>
      <w:r w:rsidRPr="00451D99">
        <w:rPr>
          <w:b/>
        </w:rPr>
        <w:t xml:space="preserve"> a quantitative analysis of overall cost </w:t>
      </w:r>
      <w:r>
        <w:rPr>
          <w:b/>
        </w:rPr>
        <w:t>saving</w:t>
      </w:r>
      <w:r w:rsidRPr="00451D99">
        <w:rPr>
          <w:b/>
        </w:rPr>
        <w:t xml:space="preserve"> for different proposed techniques, so that the effectiveness of each technique can be </w:t>
      </w:r>
      <w:r>
        <w:rPr>
          <w:b/>
        </w:rPr>
        <w:t>understood</w:t>
      </w:r>
      <w:r w:rsidRPr="00451D99">
        <w:rPr>
          <w:b/>
        </w:rPr>
        <w:t xml:space="preserve"> more clearly. </w:t>
      </w:r>
    </w:p>
    <w:p w:rsidR="006C2264" w:rsidRPr="006C2264" w:rsidRDefault="006C2264" w:rsidP="006C2264">
      <w:pPr>
        <w:pStyle w:val="BodyText"/>
        <w:numPr>
          <w:ilvl w:val="0"/>
          <w:numId w:val="13"/>
        </w:numPr>
        <w:rPr>
          <w:b/>
        </w:rPr>
      </w:pPr>
      <w:bookmarkStart w:id="13" w:name="_Ref251049932"/>
      <w:r w:rsidRPr="006C2264">
        <w:rPr>
          <w:b/>
        </w:rPr>
        <w:t xml:space="preserve">List the cost factors according to functional blocks, using a percentage cost value, with respect to RF or baseband. </w:t>
      </w:r>
    </w:p>
    <w:p w:rsidR="006C2264" w:rsidRPr="006C2264" w:rsidRDefault="006C2264" w:rsidP="006C2264">
      <w:pPr>
        <w:pStyle w:val="BodyText"/>
        <w:numPr>
          <w:ilvl w:val="0"/>
          <w:numId w:val="13"/>
        </w:numPr>
        <w:rPr>
          <w:b/>
        </w:rPr>
      </w:pPr>
      <w:r w:rsidRPr="006C2264">
        <w:rPr>
          <w:b/>
        </w:rPr>
        <w:t>It is worthwhile to list functional blocks whose cost will likely scale with bandwidth (i.e., sampling rate) or data rate, thus the cost reduction due to change in bandwidth support and/or data rate can be accounted for more clearly</w:t>
      </w:r>
    </w:p>
    <w:p w:rsidR="006C2264" w:rsidRDefault="006C2264" w:rsidP="006C2264">
      <w:pPr>
        <w:pStyle w:val="BodyText"/>
        <w:numPr>
          <w:ilvl w:val="0"/>
          <w:numId w:val="13"/>
        </w:numPr>
        <w:rPr>
          <w:b/>
        </w:rPr>
      </w:pPr>
      <w:r w:rsidRPr="006C2264">
        <w:rPr>
          <w:b/>
        </w:rPr>
        <w:t xml:space="preserve">In order to understand the overall contribution to cost reduction of each technique, especially in combination with other cost reduction techniques, it should be noted that the relative percentage savings are multiplicative in effect.  </w:t>
      </w:r>
    </w:p>
    <w:p w:rsidR="006C2264" w:rsidRDefault="00E4754F" w:rsidP="006C2264">
      <w:pPr>
        <w:pStyle w:val="BodyText"/>
        <w:rPr>
          <w:b/>
        </w:rPr>
      </w:pPr>
      <w:r>
        <w:rPr>
          <w:b/>
        </w:rPr>
        <w:t>Possible t</w:t>
      </w:r>
      <w:r w:rsidR="006C2264">
        <w:rPr>
          <w:b/>
        </w:rPr>
        <w:t xml:space="preserve">ext proposal for section 5.3 is also provided. </w:t>
      </w:r>
      <w:r w:rsidR="006C2264" w:rsidRPr="006C2264">
        <w:rPr>
          <w:b/>
        </w:rPr>
        <w:t xml:space="preserve">  </w:t>
      </w:r>
    </w:p>
    <w:p w:rsidR="00DF28A1" w:rsidRDefault="00351F0B" w:rsidP="003F6B07">
      <w:pPr>
        <w:pStyle w:val="Heading1"/>
        <w:spacing w:after="120"/>
        <w:rPr>
          <w:rFonts w:eastAsia="PMingLiU"/>
          <w:sz w:val="32"/>
          <w:lang w:eastAsia="zh-TW"/>
        </w:rPr>
      </w:pPr>
      <w:r w:rsidRPr="00EE0F7A">
        <w:rPr>
          <w:rFonts w:eastAsia="PMingLiU"/>
          <w:sz w:val="32"/>
          <w:lang w:eastAsia="zh-TW"/>
        </w:rPr>
        <w:t>References</w:t>
      </w:r>
      <w:bookmarkEnd w:id="13"/>
    </w:p>
    <w:p w:rsidR="0035114F" w:rsidRPr="00000E40" w:rsidRDefault="00000E40" w:rsidP="00DE671D">
      <w:pPr>
        <w:pStyle w:val="BodyText"/>
        <w:numPr>
          <w:ilvl w:val="0"/>
          <w:numId w:val="3"/>
        </w:numPr>
        <w:spacing w:after="0"/>
        <w:rPr>
          <w:rFonts w:eastAsia="PMingLiU"/>
          <w:szCs w:val="20"/>
          <w:lang w:eastAsia="zh-TW"/>
        </w:rPr>
      </w:pPr>
      <w:bookmarkStart w:id="14" w:name="_Ref308626990"/>
      <w:bookmarkStart w:id="15" w:name="_Ref305044843"/>
      <w:r>
        <w:t xml:space="preserve">TR36.888 </w:t>
      </w:r>
      <w:r w:rsidR="00451D99">
        <w:t xml:space="preserve">v0.1.0, </w:t>
      </w:r>
      <w:r>
        <w:t>Study on provision of low-cost MTC UEs based on LTE</w:t>
      </w:r>
      <w:bookmarkEnd w:id="14"/>
      <w:bookmarkEnd w:id="15"/>
    </w:p>
    <w:p w:rsidR="00000E40" w:rsidRDefault="00000E40" w:rsidP="00DE671D">
      <w:pPr>
        <w:pStyle w:val="BodyText"/>
        <w:numPr>
          <w:ilvl w:val="0"/>
          <w:numId w:val="3"/>
        </w:numPr>
        <w:spacing w:after="0"/>
        <w:rPr>
          <w:rFonts w:eastAsia="PMingLiU"/>
          <w:szCs w:val="20"/>
          <w:lang w:eastAsia="zh-TW"/>
        </w:rPr>
      </w:pPr>
      <w:bookmarkStart w:id="16" w:name="_Ref308627027"/>
      <w:bookmarkStart w:id="17" w:name="_Ref315702468"/>
      <w:r w:rsidRPr="00000E40">
        <w:rPr>
          <w:rFonts w:eastAsia="PMingLiU"/>
          <w:szCs w:val="20"/>
          <w:lang w:eastAsia="zh-TW"/>
        </w:rPr>
        <w:t>R1-11</w:t>
      </w:r>
      <w:r w:rsidR="00296ED1">
        <w:rPr>
          <w:rFonts w:eastAsia="PMingLiU"/>
          <w:szCs w:val="20"/>
          <w:lang w:eastAsia="zh-TW"/>
        </w:rPr>
        <w:t>4472</w:t>
      </w:r>
      <w:r>
        <w:rPr>
          <w:rFonts w:eastAsia="PMingLiU"/>
          <w:szCs w:val="20"/>
          <w:lang w:eastAsia="zh-TW"/>
        </w:rPr>
        <w:t>,  “</w:t>
      </w:r>
      <w:r w:rsidR="00296ED1" w:rsidRPr="00296ED1">
        <w:rPr>
          <w:rFonts w:eastAsia="PMingLiU"/>
          <w:szCs w:val="20"/>
          <w:lang w:eastAsia="zh-TW"/>
        </w:rPr>
        <w:t>TP for evaluation methodology of low cost MTC UE</w:t>
      </w:r>
      <w:r>
        <w:rPr>
          <w:rFonts w:eastAsia="PMingLiU"/>
          <w:szCs w:val="20"/>
          <w:lang w:eastAsia="zh-TW"/>
        </w:rPr>
        <w:t xml:space="preserve">”, </w:t>
      </w:r>
      <w:bookmarkEnd w:id="16"/>
      <w:r w:rsidR="00296ED1">
        <w:rPr>
          <w:rFonts w:eastAsia="PMingLiU"/>
          <w:szCs w:val="20"/>
          <w:lang w:eastAsia="zh-TW"/>
        </w:rPr>
        <w:t>RAN1#67</w:t>
      </w:r>
      <w:bookmarkEnd w:id="17"/>
    </w:p>
    <w:p w:rsidR="00296ED1" w:rsidRDefault="00296ED1" w:rsidP="00DE671D">
      <w:pPr>
        <w:pStyle w:val="BodyText"/>
        <w:numPr>
          <w:ilvl w:val="0"/>
          <w:numId w:val="3"/>
        </w:numPr>
        <w:spacing w:after="0"/>
        <w:rPr>
          <w:rFonts w:eastAsia="PMingLiU"/>
          <w:szCs w:val="20"/>
          <w:lang w:eastAsia="zh-TW"/>
        </w:rPr>
      </w:pPr>
      <w:bookmarkStart w:id="18" w:name="_Ref315702538"/>
      <w:r w:rsidRPr="00000E40">
        <w:rPr>
          <w:rFonts w:eastAsia="PMingLiU"/>
          <w:szCs w:val="20"/>
          <w:lang w:eastAsia="zh-TW"/>
        </w:rPr>
        <w:t>R1-11</w:t>
      </w:r>
      <w:r>
        <w:rPr>
          <w:rFonts w:eastAsia="PMingLiU"/>
          <w:szCs w:val="20"/>
          <w:lang w:eastAsia="zh-TW"/>
        </w:rPr>
        <w:t>4447,  “</w:t>
      </w:r>
      <w:r w:rsidRPr="00296ED1">
        <w:rPr>
          <w:rFonts w:eastAsia="PMingLiU"/>
          <w:szCs w:val="20"/>
          <w:lang w:eastAsia="zh-TW"/>
        </w:rPr>
        <w:t>Text proposal for cost reduction concepts for MTC UEs</w:t>
      </w:r>
      <w:r>
        <w:rPr>
          <w:rFonts w:eastAsia="PMingLiU"/>
          <w:szCs w:val="20"/>
          <w:lang w:eastAsia="zh-TW"/>
        </w:rPr>
        <w:t>”, RAN1 #67</w:t>
      </w:r>
      <w:bookmarkEnd w:id="18"/>
    </w:p>
    <w:p w:rsidR="00BA2ED4" w:rsidRPr="00782FBA" w:rsidRDefault="00000E40" w:rsidP="00791EBE">
      <w:pPr>
        <w:pStyle w:val="BodyText"/>
        <w:numPr>
          <w:ilvl w:val="0"/>
          <w:numId w:val="3"/>
        </w:numPr>
        <w:spacing w:after="0"/>
        <w:rPr>
          <w:rFonts w:eastAsia="PMingLiU"/>
          <w:szCs w:val="20"/>
          <w:lang w:eastAsia="zh-TW"/>
        </w:rPr>
      </w:pPr>
      <w:bookmarkStart w:id="19" w:name="_Ref308627009"/>
      <w:r w:rsidRPr="00782FBA">
        <w:rPr>
          <w:rFonts w:eastAsia="PMingLiU"/>
          <w:szCs w:val="20"/>
          <w:lang w:eastAsia="zh-TW"/>
        </w:rPr>
        <w:t>R1-113</w:t>
      </w:r>
      <w:r w:rsidR="006C2264" w:rsidRPr="00782FBA">
        <w:rPr>
          <w:rFonts w:eastAsia="PMingLiU"/>
          <w:szCs w:val="20"/>
          <w:lang w:eastAsia="zh-TW"/>
        </w:rPr>
        <w:t>867</w:t>
      </w:r>
      <w:r w:rsidRPr="00782FBA">
        <w:rPr>
          <w:rFonts w:eastAsia="PMingLiU"/>
          <w:szCs w:val="20"/>
          <w:lang w:eastAsia="zh-TW"/>
        </w:rPr>
        <w:t>, “</w:t>
      </w:r>
      <w:r w:rsidR="006C2264" w:rsidRPr="00782FBA">
        <w:rPr>
          <w:rFonts w:eastAsia="PMingLiU"/>
          <w:szCs w:val="20"/>
          <w:lang w:eastAsia="zh-TW"/>
        </w:rPr>
        <w:t>LTE MTC Device Cost Reduction Measures with Cost Analysis</w:t>
      </w:r>
      <w:r w:rsidRPr="00782FBA">
        <w:rPr>
          <w:rFonts w:eastAsia="PMingLiU"/>
          <w:szCs w:val="20"/>
          <w:lang w:eastAsia="zh-TW"/>
        </w:rPr>
        <w:t>”, MediaTek, RAN1#6</w:t>
      </w:r>
      <w:r w:rsidR="006C2264" w:rsidRPr="00782FBA">
        <w:rPr>
          <w:rFonts w:eastAsia="PMingLiU"/>
          <w:szCs w:val="20"/>
          <w:lang w:eastAsia="zh-TW"/>
        </w:rPr>
        <w:t>7</w:t>
      </w:r>
      <w:bookmarkEnd w:id="19"/>
    </w:p>
    <w:sectPr w:rsidR="00BA2ED4" w:rsidRPr="00782FBA" w:rsidSect="00965B1D">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CE4" w:rsidRDefault="007E3CE4">
      <w:r>
        <w:separator/>
      </w:r>
    </w:p>
  </w:endnote>
  <w:endnote w:type="continuationSeparator" w:id="0">
    <w:p w:rsidR="007E3CE4" w:rsidRDefault="007E3C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300000000000000"/>
    <w:charset w:val="88"/>
    <w:family w:val="roman"/>
    <w:pitch w:val="variable"/>
    <w:sig w:usb0="00000003" w:usb1="080E0000" w:usb2="00000016" w:usb3="00000000" w:csb0="00100001" w:csb1="00000000"/>
  </w:font>
  <w:font w:name="Helvetica">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CE4" w:rsidRDefault="007E3CE4">
      <w:r>
        <w:separator/>
      </w:r>
    </w:p>
  </w:footnote>
  <w:footnote w:type="continuationSeparator" w:id="0">
    <w:p w:rsidR="007E3CE4" w:rsidRDefault="007E3C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39B5"/>
    <w:multiLevelType w:val="hybridMultilevel"/>
    <w:tmpl w:val="43C65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2A417D"/>
    <w:multiLevelType w:val="hybridMultilevel"/>
    <w:tmpl w:val="DEF85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87099"/>
    <w:multiLevelType w:val="hybridMultilevel"/>
    <w:tmpl w:val="E7CC3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AF3794"/>
    <w:multiLevelType w:val="hybridMultilevel"/>
    <w:tmpl w:val="DEDAE07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225887"/>
    <w:multiLevelType w:val="hybridMultilevel"/>
    <w:tmpl w:val="E3DC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BA34E5"/>
    <w:multiLevelType w:val="hybridMultilevel"/>
    <w:tmpl w:val="F580B732"/>
    <w:lvl w:ilvl="0" w:tplc="BE2C367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D586B3A"/>
    <w:multiLevelType w:val="hybridMultilevel"/>
    <w:tmpl w:val="CBDC6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2C2FCC"/>
    <w:multiLevelType w:val="hybridMultilevel"/>
    <w:tmpl w:val="D2440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54FB7517"/>
    <w:multiLevelType w:val="hybridMultilevel"/>
    <w:tmpl w:val="65445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62544F"/>
    <w:multiLevelType w:val="hybridMultilevel"/>
    <w:tmpl w:val="6158F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ED18BC"/>
    <w:multiLevelType w:val="multilevel"/>
    <w:tmpl w:val="0409001F"/>
    <w:lvl w:ilvl="0">
      <w:start w:val="1"/>
      <w:numFmt w:val="decimal"/>
      <w:lvlText w:val="%1."/>
      <w:lvlJc w:val="left"/>
      <w:pPr>
        <w:ind w:left="360" w:hanging="360"/>
      </w:pPr>
      <w:rPr>
        <w:rFonts w:hint="eastAsia"/>
        <w:b/>
        <w:sz w:val="32"/>
        <w:szCs w:val="28"/>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8"/>
  </w:num>
  <w:num w:numId="3">
    <w:abstractNumId w:val="5"/>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
  </w:num>
  <w:num w:numId="9">
    <w:abstractNumId w:val="10"/>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0"/>
  </w:num>
  <w:num w:numId="13">
    <w:abstractNumId w:val="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oNotTrackMoves/>
  <w:defaultTabStop w:val="1310"/>
  <w:hyphenationZone w:val="425"/>
  <w:characterSpacingControl w:val="doNotCompress"/>
  <w:hdrShapeDefaults>
    <o:shapedefaults v:ext="edit" spidmax="21506"/>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A7BAE"/>
    <w:rsid w:val="0000002B"/>
    <w:rsid w:val="000001DC"/>
    <w:rsid w:val="00000E40"/>
    <w:rsid w:val="000012AB"/>
    <w:rsid w:val="0000208B"/>
    <w:rsid w:val="00002187"/>
    <w:rsid w:val="00003569"/>
    <w:rsid w:val="000038CE"/>
    <w:rsid w:val="00005DA9"/>
    <w:rsid w:val="00006C2E"/>
    <w:rsid w:val="0000711B"/>
    <w:rsid w:val="0000719F"/>
    <w:rsid w:val="00007386"/>
    <w:rsid w:val="00007A56"/>
    <w:rsid w:val="00007C55"/>
    <w:rsid w:val="00010B84"/>
    <w:rsid w:val="00011296"/>
    <w:rsid w:val="000120E9"/>
    <w:rsid w:val="00012950"/>
    <w:rsid w:val="00013D6C"/>
    <w:rsid w:val="000140E4"/>
    <w:rsid w:val="00014102"/>
    <w:rsid w:val="0001473C"/>
    <w:rsid w:val="00014DD1"/>
    <w:rsid w:val="00014FF6"/>
    <w:rsid w:val="0001611F"/>
    <w:rsid w:val="00016EEE"/>
    <w:rsid w:val="000176EF"/>
    <w:rsid w:val="00020F52"/>
    <w:rsid w:val="00022A63"/>
    <w:rsid w:val="00022FDE"/>
    <w:rsid w:val="0002355B"/>
    <w:rsid w:val="000249A8"/>
    <w:rsid w:val="00024E63"/>
    <w:rsid w:val="0002655C"/>
    <w:rsid w:val="00027702"/>
    <w:rsid w:val="0003195F"/>
    <w:rsid w:val="00031D3C"/>
    <w:rsid w:val="00031FBE"/>
    <w:rsid w:val="0003317E"/>
    <w:rsid w:val="00033201"/>
    <w:rsid w:val="00033B5E"/>
    <w:rsid w:val="0003506F"/>
    <w:rsid w:val="00036AD6"/>
    <w:rsid w:val="00040094"/>
    <w:rsid w:val="00040270"/>
    <w:rsid w:val="0004035C"/>
    <w:rsid w:val="00041425"/>
    <w:rsid w:val="00042757"/>
    <w:rsid w:val="00053277"/>
    <w:rsid w:val="000549EF"/>
    <w:rsid w:val="00054ECF"/>
    <w:rsid w:val="000555D9"/>
    <w:rsid w:val="00055DAE"/>
    <w:rsid w:val="00056CE3"/>
    <w:rsid w:val="00057980"/>
    <w:rsid w:val="00061B92"/>
    <w:rsid w:val="0006735D"/>
    <w:rsid w:val="00067C24"/>
    <w:rsid w:val="00067E23"/>
    <w:rsid w:val="00070536"/>
    <w:rsid w:val="00072636"/>
    <w:rsid w:val="00072B5E"/>
    <w:rsid w:val="000732C2"/>
    <w:rsid w:val="0007462A"/>
    <w:rsid w:val="00074702"/>
    <w:rsid w:val="00075790"/>
    <w:rsid w:val="00076AD6"/>
    <w:rsid w:val="00076CE6"/>
    <w:rsid w:val="000810CF"/>
    <w:rsid w:val="0008180E"/>
    <w:rsid w:val="00082B6D"/>
    <w:rsid w:val="00085B6C"/>
    <w:rsid w:val="00085F02"/>
    <w:rsid w:val="00086429"/>
    <w:rsid w:val="00086B8A"/>
    <w:rsid w:val="00091C00"/>
    <w:rsid w:val="0009328A"/>
    <w:rsid w:val="00093DA4"/>
    <w:rsid w:val="0009447E"/>
    <w:rsid w:val="000947AC"/>
    <w:rsid w:val="00094B04"/>
    <w:rsid w:val="00096087"/>
    <w:rsid w:val="00096E0A"/>
    <w:rsid w:val="000975E0"/>
    <w:rsid w:val="000A36DC"/>
    <w:rsid w:val="000A3DBE"/>
    <w:rsid w:val="000A4C50"/>
    <w:rsid w:val="000A6D49"/>
    <w:rsid w:val="000A6F10"/>
    <w:rsid w:val="000A73E6"/>
    <w:rsid w:val="000A7898"/>
    <w:rsid w:val="000A7D33"/>
    <w:rsid w:val="000B0813"/>
    <w:rsid w:val="000B0B67"/>
    <w:rsid w:val="000B16BA"/>
    <w:rsid w:val="000B2934"/>
    <w:rsid w:val="000B4269"/>
    <w:rsid w:val="000B6BA6"/>
    <w:rsid w:val="000B76CA"/>
    <w:rsid w:val="000B7849"/>
    <w:rsid w:val="000C070A"/>
    <w:rsid w:val="000C0DF5"/>
    <w:rsid w:val="000C1DCB"/>
    <w:rsid w:val="000C2A87"/>
    <w:rsid w:val="000C3C89"/>
    <w:rsid w:val="000C3CFB"/>
    <w:rsid w:val="000C4183"/>
    <w:rsid w:val="000C4D51"/>
    <w:rsid w:val="000C5AAA"/>
    <w:rsid w:val="000C777A"/>
    <w:rsid w:val="000C7FDB"/>
    <w:rsid w:val="000D0230"/>
    <w:rsid w:val="000D1F9E"/>
    <w:rsid w:val="000D32FD"/>
    <w:rsid w:val="000D470F"/>
    <w:rsid w:val="000D5D26"/>
    <w:rsid w:val="000D6277"/>
    <w:rsid w:val="000D7646"/>
    <w:rsid w:val="000E0BD4"/>
    <w:rsid w:val="000E4931"/>
    <w:rsid w:val="000E4D6A"/>
    <w:rsid w:val="000E5B84"/>
    <w:rsid w:val="000E7C7D"/>
    <w:rsid w:val="000F0A55"/>
    <w:rsid w:val="000F4400"/>
    <w:rsid w:val="000F4D9A"/>
    <w:rsid w:val="000F59A7"/>
    <w:rsid w:val="000F60B2"/>
    <w:rsid w:val="000F7417"/>
    <w:rsid w:val="0010046A"/>
    <w:rsid w:val="001019CC"/>
    <w:rsid w:val="00102E6D"/>
    <w:rsid w:val="00104C3A"/>
    <w:rsid w:val="0010625D"/>
    <w:rsid w:val="00110088"/>
    <w:rsid w:val="001118E6"/>
    <w:rsid w:val="00111FB3"/>
    <w:rsid w:val="00112991"/>
    <w:rsid w:val="001146A5"/>
    <w:rsid w:val="001153A7"/>
    <w:rsid w:val="00115E24"/>
    <w:rsid w:val="00116101"/>
    <w:rsid w:val="001171E9"/>
    <w:rsid w:val="001176B4"/>
    <w:rsid w:val="001211C5"/>
    <w:rsid w:val="001232A5"/>
    <w:rsid w:val="0012338C"/>
    <w:rsid w:val="001247BF"/>
    <w:rsid w:val="00130027"/>
    <w:rsid w:val="00130B52"/>
    <w:rsid w:val="0013160F"/>
    <w:rsid w:val="00131784"/>
    <w:rsid w:val="00132C5C"/>
    <w:rsid w:val="00135C64"/>
    <w:rsid w:val="00135CD9"/>
    <w:rsid w:val="00135FB1"/>
    <w:rsid w:val="00136F5B"/>
    <w:rsid w:val="00137E59"/>
    <w:rsid w:val="00141645"/>
    <w:rsid w:val="0014376B"/>
    <w:rsid w:val="00144437"/>
    <w:rsid w:val="0014569F"/>
    <w:rsid w:val="00147314"/>
    <w:rsid w:val="00147E11"/>
    <w:rsid w:val="00151F3C"/>
    <w:rsid w:val="00153503"/>
    <w:rsid w:val="001557DF"/>
    <w:rsid w:val="001559BB"/>
    <w:rsid w:val="001600F5"/>
    <w:rsid w:val="00162620"/>
    <w:rsid w:val="001627EF"/>
    <w:rsid w:val="00162B77"/>
    <w:rsid w:val="0016393D"/>
    <w:rsid w:val="001639E4"/>
    <w:rsid w:val="00163CB3"/>
    <w:rsid w:val="0016526A"/>
    <w:rsid w:val="001677AC"/>
    <w:rsid w:val="0017199C"/>
    <w:rsid w:val="00173C35"/>
    <w:rsid w:val="0017463F"/>
    <w:rsid w:val="00174911"/>
    <w:rsid w:val="0017542F"/>
    <w:rsid w:val="00175730"/>
    <w:rsid w:val="00175AAB"/>
    <w:rsid w:val="00175C31"/>
    <w:rsid w:val="00176CC1"/>
    <w:rsid w:val="001776D0"/>
    <w:rsid w:val="00180D25"/>
    <w:rsid w:val="001812D1"/>
    <w:rsid w:val="00181C93"/>
    <w:rsid w:val="001827A9"/>
    <w:rsid w:val="00182B6D"/>
    <w:rsid w:val="00183D0B"/>
    <w:rsid w:val="00184921"/>
    <w:rsid w:val="00184C3E"/>
    <w:rsid w:val="00187503"/>
    <w:rsid w:val="0018763C"/>
    <w:rsid w:val="00190927"/>
    <w:rsid w:val="00191495"/>
    <w:rsid w:val="00191AFA"/>
    <w:rsid w:val="00192490"/>
    <w:rsid w:val="001935F2"/>
    <w:rsid w:val="00193AD8"/>
    <w:rsid w:val="00195049"/>
    <w:rsid w:val="0019518D"/>
    <w:rsid w:val="00195CFF"/>
    <w:rsid w:val="0019621C"/>
    <w:rsid w:val="00196321"/>
    <w:rsid w:val="001A01C5"/>
    <w:rsid w:val="001A0658"/>
    <w:rsid w:val="001A12E9"/>
    <w:rsid w:val="001A1C3E"/>
    <w:rsid w:val="001A1D82"/>
    <w:rsid w:val="001A1E84"/>
    <w:rsid w:val="001A2099"/>
    <w:rsid w:val="001A25C5"/>
    <w:rsid w:val="001A2E9B"/>
    <w:rsid w:val="001A306B"/>
    <w:rsid w:val="001A33C6"/>
    <w:rsid w:val="001A349B"/>
    <w:rsid w:val="001A3F8F"/>
    <w:rsid w:val="001A4DFC"/>
    <w:rsid w:val="001A58C2"/>
    <w:rsid w:val="001A5DE4"/>
    <w:rsid w:val="001A6FFF"/>
    <w:rsid w:val="001A7510"/>
    <w:rsid w:val="001B039E"/>
    <w:rsid w:val="001B0A9F"/>
    <w:rsid w:val="001B12FE"/>
    <w:rsid w:val="001B132F"/>
    <w:rsid w:val="001B171C"/>
    <w:rsid w:val="001B441B"/>
    <w:rsid w:val="001B4856"/>
    <w:rsid w:val="001B4CFC"/>
    <w:rsid w:val="001B4E43"/>
    <w:rsid w:val="001B6537"/>
    <w:rsid w:val="001B7F8F"/>
    <w:rsid w:val="001C0898"/>
    <w:rsid w:val="001C5C6A"/>
    <w:rsid w:val="001C7086"/>
    <w:rsid w:val="001C7329"/>
    <w:rsid w:val="001D06F1"/>
    <w:rsid w:val="001D1597"/>
    <w:rsid w:val="001D229B"/>
    <w:rsid w:val="001D2D1B"/>
    <w:rsid w:val="001D34DD"/>
    <w:rsid w:val="001D38F7"/>
    <w:rsid w:val="001D49A9"/>
    <w:rsid w:val="001D4D27"/>
    <w:rsid w:val="001D623D"/>
    <w:rsid w:val="001D6CB1"/>
    <w:rsid w:val="001D76F8"/>
    <w:rsid w:val="001E1C44"/>
    <w:rsid w:val="001E207C"/>
    <w:rsid w:val="001E2FA5"/>
    <w:rsid w:val="001E3DA0"/>
    <w:rsid w:val="001E58E7"/>
    <w:rsid w:val="001E69AD"/>
    <w:rsid w:val="001E75B1"/>
    <w:rsid w:val="001E75DA"/>
    <w:rsid w:val="001F0F3B"/>
    <w:rsid w:val="001F16AC"/>
    <w:rsid w:val="001F21E5"/>
    <w:rsid w:val="001F317F"/>
    <w:rsid w:val="001F397A"/>
    <w:rsid w:val="001F46B5"/>
    <w:rsid w:val="001F485C"/>
    <w:rsid w:val="001F60D8"/>
    <w:rsid w:val="001F6AAA"/>
    <w:rsid w:val="001F71D4"/>
    <w:rsid w:val="00200442"/>
    <w:rsid w:val="00202D37"/>
    <w:rsid w:val="00204777"/>
    <w:rsid w:val="00206E06"/>
    <w:rsid w:val="002077E0"/>
    <w:rsid w:val="002101D2"/>
    <w:rsid w:val="00210B5F"/>
    <w:rsid w:val="00211621"/>
    <w:rsid w:val="0021375B"/>
    <w:rsid w:val="00213875"/>
    <w:rsid w:val="00214F27"/>
    <w:rsid w:val="002152C9"/>
    <w:rsid w:val="00215EAA"/>
    <w:rsid w:val="00216137"/>
    <w:rsid w:val="00216A15"/>
    <w:rsid w:val="00216A66"/>
    <w:rsid w:val="0021702F"/>
    <w:rsid w:val="002172EB"/>
    <w:rsid w:val="0021747E"/>
    <w:rsid w:val="00217C68"/>
    <w:rsid w:val="00217DEC"/>
    <w:rsid w:val="0022072D"/>
    <w:rsid w:val="00220DD0"/>
    <w:rsid w:val="00221096"/>
    <w:rsid w:val="002210D2"/>
    <w:rsid w:val="00221A26"/>
    <w:rsid w:val="002227C6"/>
    <w:rsid w:val="00223807"/>
    <w:rsid w:val="00225A77"/>
    <w:rsid w:val="00226D78"/>
    <w:rsid w:val="002303EF"/>
    <w:rsid w:val="00231270"/>
    <w:rsid w:val="002319D6"/>
    <w:rsid w:val="00231EFA"/>
    <w:rsid w:val="002344CE"/>
    <w:rsid w:val="00234A21"/>
    <w:rsid w:val="002350A6"/>
    <w:rsid w:val="00235B4A"/>
    <w:rsid w:val="002368EE"/>
    <w:rsid w:val="00237035"/>
    <w:rsid w:val="00237B7B"/>
    <w:rsid w:val="00240872"/>
    <w:rsid w:val="00241D64"/>
    <w:rsid w:val="00243667"/>
    <w:rsid w:val="00243935"/>
    <w:rsid w:val="00243F00"/>
    <w:rsid w:val="00245AD3"/>
    <w:rsid w:val="00245F88"/>
    <w:rsid w:val="0024768B"/>
    <w:rsid w:val="00250846"/>
    <w:rsid w:val="00250AEC"/>
    <w:rsid w:val="00252B74"/>
    <w:rsid w:val="00253D49"/>
    <w:rsid w:val="00254B23"/>
    <w:rsid w:val="0025521A"/>
    <w:rsid w:val="002559AE"/>
    <w:rsid w:val="002559C0"/>
    <w:rsid w:val="00256C37"/>
    <w:rsid w:val="00257244"/>
    <w:rsid w:val="00257A0D"/>
    <w:rsid w:val="00257E98"/>
    <w:rsid w:val="00257FD0"/>
    <w:rsid w:val="002609B1"/>
    <w:rsid w:val="00261E50"/>
    <w:rsid w:val="00262E81"/>
    <w:rsid w:val="00263805"/>
    <w:rsid w:val="00263E4C"/>
    <w:rsid w:val="00264B77"/>
    <w:rsid w:val="00264C87"/>
    <w:rsid w:val="00264D73"/>
    <w:rsid w:val="00270973"/>
    <w:rsid w:val="00272951"/>
    <w:rsid w:val="0027313D"/>
    <w:rsid w:val="002734A6"/>
    <w:rsid w:val="0027368B"/>
    <w:rsid w:val="00273BB4"/>
    <w:rsid w:val="00274ACC"/>
    <w:rsid w:val="002765D2"/>
    <w:rsid w:val="00277AC7"/>
    <w:rsid w:val="002803DA"/>
    <w:rsid w:val="002804EF"/>
    <w:rsid w:val="002806CE"/>
    <w:rsid w:val="00281819"/>
    <w:rsid w:val="00283F43"/>
    <w:rsid w:val="00284D13"/>
    <w:rsid w:val="00285278"/>
    <w:rsid w:val="0028535B"/>
    <w:rsid w:val="00285CD4"/>
    <w:rsid w:val="00285D8A"/>
    <w:rsid w:val="002872BC"/>
    <w:rsid w:val="00287BD9"/>
    <w:rsid w:val="0029010C"/>
    <w:rsid w:val="0029022C"/>
    <w:rsid w:val="00290ED7"/>
    <w:rsid w:val="00291828"/>
    <w:rsid w:val="00292436"/>
    <w:rsid w:val="00292594"/>
    <w:rsid w:val="00296405"/>
    <w:rsid w:val="00296A8A"/>
    <w:rsid w:val="00296ED1"/>
    <w:rsid w:val="00297397"/>
    <w:rsid w:val="0029780C"/>
    <w:rsid w:val="002A1B5C"/>
    <w:rsid w:val="002A219F"/>
    <w:rsid w:val="002A2BDE"/>
    <w:rsid w:val="002A2BF1"/>
    <w:rsid w:val="002A3222"/>
    <w:rsid w:val="002A5460"/>
    <w:rsid w:val="002A7C5C"/>
    <w:rsid w:val="002B393F"/>
    <w:rsid w:val="002B79DD"/>
    <w:rsid w:val="002C033F"/>
    <w:rsid w:val="002C09E0"/>
    <w:rsid w:val="002C282C"/>
    <w:rsid w:val="002C38FC"/>
    <w:rsid w:val="002C46A4"/>
    <w:rsid w:val="002C6E98"/>
    <w:rsid w:val="002D2A79"/>
    <w:rsid w:val="002D31D6"/>
    <w:rsid w:val="002D3581"/>
    <w:rsid w:val="002D38C4"/>
    <w:rsid w:val="002D3B23"/>
    <w:rsid w:val="002D4D75"/>
    <w:rsid w:val="002D579C"/>
    <w:rsid w:val="002D68BC"/>
    <w:rsid w:val="002D702A"/>
    <w:rsid w:val="002D71CE"/>
    <w:rsid w:val="002D72B5"/>
    <w:rsid w:val="002D7525"/>
    <w:rsid w:val="002D7C6E"/>
    <w:rsid w:val="002D7F68"/>
    <w:rsid w:val="002E02AE"/>
    <w:rsid w:val="002E0DD2"/>
    <w:rsid w:val="002E133D"/>
    <w:rsid w:val="002E2ED8"/>
    <w:rsid w:val="002E4BF2"/>
    <w:rsid w:val="002E5D3B"/>
    <w:rsid w:val="002E6DB3"/>
    <w:rsid w:val="002E7E8F"/>
    <w:rsid w:val="002F0347"/>
    <w:rsid w:val="002F1EE2"/>
    <w:rsid w:val="002F23B2"/>
    <w:rsid w:val="002F2DF8"/>
    <w:rsid w:val="002F2F44"/>
    <w:rsid w:val="002F5394"/>
    <w:rsid w:val="002F5566"/>
    <w:rsid w:val="002F6DE2"/>
    <w:rsid w:val="002F6E43"/>
    <w:rsid w:val="00302F2D"/>
    <w:rsid w:val="00304120"/>
    <w:rsid w:val="0030425B"/>
    <w:rsid w:val="00305CA8"/>
    <w:rsid w:val="00306CA9"/>
    <w:rsid w:val="00307387"/>
    <w:rsid w:val="00310299"/>
    <w:rsid w:val="003104AE"/>
    <w:rsid w:val="0031054A"/>
    <w:rsid w:val="003119B8"/>
    <w:rsid w:val="00312562"/>
    <w:rsid w:val="00313177"/>
    <w:rsid w:val="0031348B"/>
    <w:rsid w:val="00314F8A"/>
    <w:rsid w:val="00317E6E"/>
    <w:rsid w:val="00320717"/>
    <w:rsid w:val="0032169B"/>
    <w:rsid w:val="00321722"/>
    <w:rsid w:val="0032368A"/>
    <w:rsid w:val="00323936"/>
    <w:rsid w:val="003241DB"/>
    <w:rsid w:val="00324612"/>
    <w:rsid w:val="00324AE4"/>
    <w:rsid w:val="00325772"/>
    <w:rsid w:val="00325843"/>
    <w:rsid w:val="00325901"/>
    <w:rsid w:val="003266F2"/>
    <w:rsid w:val="00326F45"/>
    <w:rsid w:val="003303B2"/>
    <w:rsid w:val="00330BCD"/>
    <w:rsid w:val="003310FF"/>
    <w:rsid w:val="003317B8"/>
    <w:rsid w:val="00331E40"/>
    <w:rsid w:val="00334090"/>
    <w:rsid w:val="003341EE"/>
    <w:rsid w:val="00340B45"/>
    <w:rsid w:val="00342030"/>
    <w:rsid w:val="00343D55"/>
    <w:rsid w:val="00344183"/>
    <w:rsid w:val="00344F72"/>
    <w:rsid w:val="0034562C"/>
    <w:rsid w:val="003459D9"/>
    <w:rsid w:val="00345D62"/>
    <w:rsid w:val="00346FB5"/>
    <w:rsid w:val="003472A6"/>
    <w:rsid w:val="00347ADF"/>
    <w:rsid w:val="00347D98"/>
    <w:rsid w:val="003507D4"/>
    <w:rsid w:val="0035114F"/>
    <w:rsid w:val="00351468"/>
    <w:rsid w:val="00351491"/>
    <w:rsid w:val="00351F0B"/>
    <w:rsid w:val="00352519"/>
    <w:rsid w:val="00353181"/>
    <w:rsid w:val="00354E0C"/>
    <w:rsid w:val="00354F0D"/>
    <w:rsid w:val="00355CE6"/>
    <w:rsid w:val="0035651E"/>
    <w:rsid w:val="00356EE8"/>
    <w:rsid w:val="0035746F"/>
    <w:rsid w:val="003577E1"/>
    <w:rsid w:val="003616C3"/>
    <w:rsid w:val="0036567F"/>
    <w:rsid w:val="00365901"/>
    <w:rsid w:val="00366DB5"/>
    <w:rsid w:val="00367517"/>
    <w:rsid w:val="0036796D"/>
    <w:rsid w:val="00367F99"/>
    <w:rsid w:val="00370DA6"/>
    <w:rsid w:val="003728FC"/>
    <w:rsid w:val="00373023"/>
    <w:rsid w:val="0037370E"/>
    <w:rsid w:val="003746F2"/>
    <w:rsid w:val="00375530"/>
    <w:rsid w:val="00375EF3"/>
    <w:rsid w:val="0037726E"/>
    <w:rsid w:val="003774B2"/>
    <w:rsid w:val="003775A0"/>
    <w:rsid w:val="003807D3"/>
    <w:rsid w:val="00383AF1"/>
    <w:rsid w:val="00384351"/>
    <w:rsid w:val="0038500E"/>
    <w:rsid w:val="00387B46"/>
    <w:rsid w:val="00387D4C"/>
    <w:rsid w:val="00387EE7"/>
    <w:rsid w:val="00387F2F"/>
    <w:rsid w:val="00391A17"/>
    <w:rsid w:val="00391FCA"/>
    <w:rsid w:val="00392747"/>
    <w:rsid w:val="003930D1"/>
    <w:rsid w:val="00393845"/>
    <w:rsid w:val="003955CC"/>
    <w:rsid w:val="003978B2"/>
    <w:rsid w:val="00397D1D"/>
    <w:rsid w:val="003A0660"/>
    <w:rsid w:val="003A2533"/>
    <w:rsid w:val="003A25F0"/>
    <w:rsid w:val="003A2ED0"/>
    <w:rsid w:val="003A3BE6"/>
    <w:rsid w:val="003A3DA8"/>
    <w:rsid w:val="003A5ABF"/>
    <w:rsid w:val="003A67A5"/>
    <w:rsid w:val="003A7527"/>
    <w:rsid w:val="003A7B46"/>
    <w:rsid w:val="003A7B56"/>
    <w:rsid w:val="003B05F1"/>
    <w:rsid w:val="003B20AE"/>
    <w:rsid w:val="003B2A8C"/>
    <w:rsid w:val="003B2EBD"/>
    <w:rsid w:val="003B76DF"/>
    <w:rsid w:val="003B783C"/>
    <w:rsid w:val="003B7AA0"/>
    <w:rsid w:val="003C01D8"/>
    <w:rsid w:val="003C2B65"/>
    <w:rsid w:val="003C2FD9"/>
    <w:rsid w:val="003C474E"/>
    <w:rsid w:val="003C4C56"/>
    <w:rsid w:val="003C69C0"/>
    <w:rsid w:val="003C6E2F"/>
    <w:rsid w:val="003C73E4"/>
    <w:rsid w:val="003D0188"/>
    <w:rsid w:val="003D1002"/>
    <w:rsid w:val="003D1C16"/>
    <w:rsid w:val="003D2F3F"/>
    <w:rsid w:val="003D3FB5"/>
    <w:rsid w:val="003D4BD9"/>
    <w:rsid w:val="003D5F4B"/>
    <w:rsid w:val="003D6A28"/>
    <w:rsid w:val="003D6CA1"/>
    <w:rsid w:val="003D7701"/>
    <w:rsid w:val="003D7808"/>
    <w:rsid w:val="003D7E97"/>
    <w:rsid w:val="003E0A17"/>
    <w:rsid w:val="003E2CF7"/>
    <w:rsid w:val="003E303B"/>
    <w:rsid w:val="003E3EB7"/>
    <w:rsid w:val="003E5D9D"/>
    <w:rsid w:val="003E5F84"/>
    <w:rsid w:val="003E60E2"/>
    <w:rsid w:val="003E6F95"/>
    <w:rsid w:val="003F0D15"/>
    <w:rsid w:val="003F1795"/>
    <w:rsid w:val="003F279A"/>
    <w:rsid w:val="003F2913"/>
    <w:rsid w:val="003F2C21"/>
    <w:rsid w:val="003F32F7"/>
    <w:rsid w:val="003F404F"/>
    <w:rsid w:val="003F4203"/>
    <w:rsid w:val="003F4880"/>
    <w:rsid w:val="003F60E7"/>
    <w:rsid w:val="003F6290"/>
    <w:rsid w:val="003F6B07"/>
    <w:rsid w:val="00400C08"/>
    <w:rsid w:val="00400C82"/>
    <w:rsid w:val="0040135F"/>
    <w:rsid w:val="004019CF"/>
    <w:rsid w:val="00401A56"/>
    <w:rsid w:val="00402777"/>
    <w:rsid w:val="00403FF9"/>
    <w:rsid w:val="0040550D"/>
    <w:rsid w:val="00406D9A"/>
    <w:rsid w:val="00407A4E"/>
    <w:rsid w:val="00410BB2"/>
    <w:rsid w:val="004139B4"/>
    <w:rsid w:val="00413E83"/>
    <w:rsid w:val="0041466D"/>
    <w:rsid w:val="004170B0"/>
    <w:rsid w:val="004171BE"/>
    <w:rsid w:val="00417ECB"/>
    <w:rsid w:val="00420482"/>
    <w:rsid w:val="00420F90"/>
    <w:rsid w:val="00421BB0"/>
    <w:rsid w:val="00422C3A"/>
    <w:rsid w:val="00423603"/>
    <w:rsid w:val="00424430"/>
    <w:rsid w:val="00426A44"/>
    <w:rsid w:val="0042717B"/>
    <w:rsid w:val="004312F7"/>
    <w:rsid w:val="00431A0F"/>
    <w:rsid w:val="00431BC9"/>
    <w:rsid w:val="00431F5E"/>
    <w:rsid w:val="00432417"/>
    <w:rsid w:val="00434206"/>
    <w:rsid w:val="004348F3"/>
    <w:rsid w:val="00435883"/>
    <w:rsid w:val="00436617"/>
    <w:rsid w:val="004369AD"/>
    <w:rsid w:val="00436CD6"/>
    <w:rsid w:val="0043705E"/>
    <w:rsid w:val="00441408"/>
    <w:rsid w:val="00441494"/>
    <w:rsid w:val="00442070"/>
    <w:rsid w:val="004436EB"/>
    <w:rsid w:val="004438A9"/>
    <w:rsid w:val="00443C9E"/>
    <w:rsid w:val="00444C5A"/>
    <w:rsid w:val="00447271"/>
    <w:rsid w:val="004473F5"/>
    <w:rsid w:val="00447EDB"/>
    <w:rsid w:val="004506C7"/>
    <w:rsid w:val="00450B30"/>
    <w:rsid w:val="00451D99"/>
    <w:rsid w:val="0045207A"/>
    <w:rsid w:val="004520EB"/>
    <w:rsid w:val="004524F6"/>
    <w:rsid w:val="00452E18"/>
    <w:rsid w:val="00453F8E"/>
    <w:rsid w:val="0045427C"/>
    <w:rsid w:val="00455D01"/>
    <w:rsid w:val="00456BE7"/>
    <w:rsid w:val="0046036B"/>
    <w:rsid w:val="004606D6"/>
    <w:rsid w:val="00461050"/>
    <w:rsid w:val="00461B77"/>
    <w:rsid w:val="00462363"/>
    <w:rsid w:val="0046275A"/>
    <w:rsid w:val="00463607"/>
    <w:rsid w:val="004647DB"/>
    <w:rsid w:val="00464863"/>
    <w:rsid w:val="00464F05"/>
    <w:rsid w:val="004669C5"/>
    <w:rsid w:val="00467403"/>
    <w:rsid w:val="004674A6"/>
    <w:rsid w:val="00470294"/>
    <w:rsid w:val="00471062"/>
    <w:rsid w:val="004736D6"/>
    <w:rsid w:val="00473996"/>
    <w:rsid w:val="004759B3"/>
    <w:rsid w:val="00476802"/>
    <w:rsid w:val="00477800"/>
    <w:rsid w:val="00480035"/>
    <w:rsid w:val="00480BB7"/>
    <w:rsid w:val="0048166D"/>
    <w:rsid w:val="00481B80"/>
    <w:rsid w:val="0048614E"/>
    <w:rsid w:val="00487C8A"/>
    <w:rsid w:val="00491AB5"/>
    <w:rsid w:val="00492357"/>
    <w:rsid w:val="0049310C"/>
    <w:rsid w:val="00494CCF"/>
    <w:rsid w:val="00495D01"/>
    <w:rsid w:val="00495EC5"/>
    <w:rsid w:val="00497512"/>
    <w:rsid w:val="004A11C4"/>
    <w:rsid w:val="004A3E38"/>
    <w:rsid w:val="004A4296"/>
    <w:rsid w:val="004A5351"/>
    <w:rsid w:val="004A5561"/>
    <w:rsid w:val="004A6294"/>
    <w:rsid w:val="004A67A7"/>
    <w:rsid w:val="004A7828"/>
    <w:rsid w:val="004A79D5"/>
    <w:rsid w:val="004B02ED"/>
    <w:rsid w:val="004B21CA"/>
    <w:rsid w:val="004B568B"/>
    <w:rsid w:val="004B5ADF"/>
    <w:rsid w:val="004B5BF8"/>
    <w:rsid w:val="004B7AC3"/>
    <w:rsid w:val="004B7B36"/>
    <w:rsid w:val="004C05AE"/>
    <w:rsid w:val="004C0663"/>
    <w:rsid w:val="004C0A94"/>
    <w:rsid w:val="004C16BB"/>
    <w:rsid w:val="004C2CEF"/>
    <w:rsid w:val="004C3C03"/>
    <w:rsid w:val="004C3FCC"/>
    <w:rsid w:val="004C428F"/>
    <w:rsid w:val="004C4FC5"/>
    <w:rsid w:val="004C5E7D"/>
    <w:rsid w:val="004C627B"/>
    <w:rsid w:val="004C791B"/>
    <w:rsid w:val="004C7EC6"/>
    <w:rsid w:val="004D021E"/>
    <w:rsid w:val="004D082E"/>
    <w:rsid w:val="004D0D5D"/>
    <w:rsid w:val="004D1196"/>
    <w:rsid w:val="004D1570"/>
    <w:rsid w:val="004D1BF0"/>
    <w:rsid w:val="004D1CD6"/>
    <w:rsid w:val="004D257D"/>
    <w:rsid w:val="004D4541"/>
    <w:rsid w:val="004D71FA"/>
    <w:rsid w:val="004E0F65"/>
    <w:rsid w:val="004E1C99"/>
    <w:rsid w:val="004E36CC"/>
    <w:rsid w:val="004E3AFB"/>
    <w:rsid w:val="004E76DE"/>
    <w:rsid w:val="004F0B2D"/>
    <w:rsid w:val="004F0C0F"/>
    <w:rsid w:val="004F329C"/>
    <w:rsid w:val="004F4618"/>
    <w:rsid w:val="004F5B1F"/>
    <w:rsid w:val="004F7518"/>
    <w:rsid w:val="0050004C"/>
    <w:rsid w:val="0050167F"/>
    <w:rsid w:val="00503219"/>
    <w:rsid w:val="00503A0C"/>
    <w:rsid w:val="00504B39"/>
    <w:rsid w:val="00504E1C"/>
    <w:rsid w:val="0050595E"/>
    <w:rsid w:val="005059FE"/>
    <w:rsid w:val="00505B93"/>
    <w:rsid w:val="0050670F"/>
    <w:rsid w:val="00507013"/>
    <w:rsid w:val="0050771B"/>
    <w:rsid w:val="00510D7B"/>
    <w:rsid w:val="00510D9C"/>
    <w:rsid w:val="0051162B"/>
    <w:rsid w:val="005131DB"/>
    <w:rsid w:val="00514F81"/>
    <w:rsid w:val="00516FF0"/>
    <w:rsid w:val="00520008"/>
    <w:rsid w:val="00520125"/>
    <w:rsid w:val="005219C2"/>
    <w:rsid w:val="0052206B"/>
    <w:rsid w:val="005223FC"/>
    <w:rsid w:val="00524A7D"/>
    <w:rsid w:val="0052577F"/>
    <w:rsid w:val="0052672A"/>
    <w:rsid w:val="005272A2"/>
    <w:rsid w:val="00527C62"/>
    <w:rsid w:val="00530E99"/>
    <w:rsid w:val="00532124"/>
    <w:rsid w:val="0053237C"/>
    <w:rsid w:val="0053262A"/>
    <w:rsid w:val="00533975"/>
    <w:rsid w:val="00533B72"/>
    <w:rsid w:val="00536484"/>
    <w:rsid w:val="00536F15"/>
    <w:rsid w:val="00537287"/>
    <w:rsid w:val="00537536"/>
    <w:rsid w:val="0053789B"/>
    <w:rsid w:val="00537C58"/>
    <w:rsid w:val="00541B13"/>
    <w:rsid w:val="00542C06"/>
    <w:rsid w:val="005448D6"/>
    <w:rsid w:val="00544B22"/>
    <w:rsid w:val="0054531E"/>
    <w:rsid w:val="0054690C"/>
    <w:rsid w:val="00550E75"/>
    <w:rsid w:val="00552215"/>
    <w:rsid w:val="0055379A"/>
    <w:rsid w:val="00554BB0"/>
    <w:rsid w:val="0055605F"/>
    <w:rsid w:val="00556F78"/>
    <w:rsid w:val="00557854"/>
    <w:rsid w:val="00557F0D"/>
    <w:rsid w:val="00560153"/>
    <w:rsid w:val="005613EB"/>
    <w:rsid w:val="00562080"/>
    <w:rsid w:val="00564CEC"/>
    <w:rsid w:val="00565A9C"/>
    <w:rsid w:val="00565E83"/>
    <w:rsid w:val="0056673B"/>
    <w:rsid w:val="00566C4D"/>
    <w:rsid w:val="00566F3A"/>
    <w:rsid w:val="005702C9"/>
    <w:rsid w:val="00571229"/>
    <w:rsid w:val="005728AA"/>
    <w:rsid w:val="0057322A"/>
    <w:rsid w:val="005741E7"/>
    <w:rsid w:val="005748E8"/>
    <w:rsid w:val="0057509D"/>
    <w:rsid w:val="00576F7A"/>
    <w:rsid w:val="00580C66"/>
    <w:rsid w:val="00580D64"/>
    <w:rsid w:val="00581DFF"/>
    <w:rsid w:val="00582AC9"/>
    <w:rsid w:val="005832CD"/>
    <w:rsid w:val="00583645"/>
    <w:rsid w:val="00583CDE"/>
    <w:rsid w:val="00585D98"/>
    <w:rsid w:val="00585FDC"/>
    <w:rsid w:val="005861F9"/>
    <w:rsid w:val="00586401"/>
    <w:rsid w:val="00586B93"/>
    <w:rsid w:val="00587710"/>
    <w:rsid w:val="005900C0"/>
    <w:rsid w:val="005919A2"/>
    <w:rsid w:val="00593818"/>
    <w:rsid w:val="0059480E"/>
    <w:rsid w:val="00596E67"/>
    <w:rsid w:val="005974A6"/>
    <w:rsid w:val="00597AD2"/>
    <w:rsid w:val="005A0533"/>
    <w:rsid w:val="005A05DA"/>
    <w:rsid w:val="005A0987"/>
    <w:rsid w:val="005A3736"/>
    <w:rsid w:val="005A4500"/>
    <w:rsid w:val="005A6486"/>
    <w:rsid w:val="005A69C3"/>
    <w:rsid w:val="005A7694"/>
    <w:rsid w:val="005B0450"/>
    <w:rsid w:val="005B1813"/>
    <w:rsid w:val="005B1E47"/>
    <w:rsid w:val="005B2128"/>
    <w:rsid w:val="005B27D3"/>
    <w:rsid w:val="005B2AF5"/>
    <w:rsid w:val="005B2D94"/>
    <w:rsid w:val="005B311F"/>
    <w:rsid w:val="005B3F00"/>
    <w:rsid w:val="005B40E8"/>
    <w:rsid w:val="005B4A15"/>
    <w:rsid w:val="005B64BA"/>
    <w:rsid w:val="005B6D3C"/>
    <w:rsid w:val="005B72DB"/>
    <w:rsid w:val="005B7605"/>
    <w:rsid w:val="005B7798"/>
    <w:rsid w:val="005C0242"/>
    <w:rsid w:val="005C0514"/>
    <w:rsid w:val="005C32CE"/>
    <w:rsid w:val="005C42D1"/>
    <w:rsid w:val="005C4B22"/>
    <w:rsid w:val="005C4C84"/>
    <w:rsid w:val="005C6710"/>
    <w:rsid w:val="005D005B"/>
    <w:rsid w:val="005D0780"/>
    <w:rsid w:val="005D3145"/>
    <w:rsid w:val="005D385F"/>
    <w:rsid w:val="005D3E1B"/>
    <w:rsid w:val="005D49C8"/>
    <w:rsid w:val="005D57FA"/>
    <w:rsid w:val="005D58EC"/>
    <w:rsid w:val="005D77DA"/>
    <w:rsid w:val="005E329E"/>
    <w:rsid w:val="005E37C8"/>
    <w:rsid w:val="005E3F28"/>
    <w:rsid w:val="005E405C"/>
    <w:rsid w:val="005E4D88"/>
    <w:rsid w:val="005E5BE2"/>
    <w:rsid w:val="005E6128"/>
    <w:rsid w:val="005E64DA"/>
    <w:rsid w:val="005E7111"/>
    <w:rsid w:val="005F0BB7"/>
    <w:rsid w:val="005F1CBA"/>
    <w:rsid w:val="005F21D2"/>
    <w:rsid w:val="005F6263"/>
    <w:rsid w:val="005F665D"/>
    <w:rsid w:val="005F71BF"/>
    <w:rsid w:val="005F73FB"/>
    <w:rsid w:val="00600515"/>
    <w:rsid w:val="00600FC1"/>
    <w:rsid w:val="00601558"/>
    <w:rsid w:val="00601D69"/>
    <w:rsid w:val="0060200E"/>
    <w:rsid w:val="00603215"/>
    <w:rsid w:val="0060321D"/>
    <w:rsid w:val="00604819"/>
    <w:rsid w:val="006051E9"/>
    <w:rsid w:val="006057BF"/>
    <w:rsid w:val="00605D9C"/>
    <w:rsid w:val="00610F05"/>
    <w:rsid w:val="0061143D"/>
    <w:rsid w:val="00612109"/>
    <w:rsid w:val="00612223"/>
    <w:rsid w:val="006132EB"/>
    <w:rsid w:val="00614128"/>
    <w:rsid w:val="006144F1"/>
    <w:rsid w:val="00614AE5"/>
    <w:rsid w:val="00616222"/>
    <w:rsid w:val="00623C80"/>
    <w:rsid w:val="00624222"/>
    <w:rsid w:val="0062472B"/>
    <w:rsid w:val="0062575C"/>
    <w:rsid w:val="00625905"/>
    <w:rsid w:val="006260F1"/>
    <w:rsid w:val="0062693A"/>
    <w:rsid w:val="006275FD"/>
    <w:rsid w:val="0063024C"/>
    <w:rsid w:val="0063069B"/>
    <w:rsid w:val="006306B3"/>
    <w:rsid w:val="00631A43"/>
    <w:rsid w:val="00632569"/>
    <w:rsid w:val="00632ABC"/>
    <w:rsid w:val="006404C9"/>
    <w:rsid w:val="00640E3E"/>
    <w:rsid w:val="006419E6"/>
    <w:rsid w:val="006427E9"/>
    <w:rsid w:val="00643084"/>
    <w:rsid w:val="0064567E"/>
    <w:rsid w:val="00645AAF"/>
    <w:rsid w:val="00646436"/>
    <w:rsid w:val="00646D64"/>
    <w:rsid w:val="006475F9"/>
    <w:rsid w:val="0064799A"/>
    <w:rsid w:val="00647B29"/>
    <w:rsid w:val="006507E8"/>
    <w:rsid w:val="00651519"/>
    <w:rsid w:val="00651564"/>
    <w:rsid w:val="006517FC"/>
    <w:rsid w:val="00651E56"/>
    <w:rsid w:val="00652803"/>
    <w:rsid w:val="0065418D"/>
    <w:rsid w:val="00654A17"/>
    <w:rsid w:val="00656829"/>
    <w:rsid w:val="00656EFB"/>
    <w:rsid w:val="00657458"/>
    <w:rsid w:val="0066090F"/>
    <w:rsid w:val="00660B90"/>
    <w:rsid w:val="00661018"/>
    <w:rsid w:val="006611B6"/>
    <w:rsid w:val="006618C7"/>
    <w:rsid w:val="00662EC9"/>
    <w:rsid w:val="006633F9"/>
    <w:rsid w:val="0066357A"/>
    <w:rsid w:val="00663F04"/>
    <w:rsid w:val="006643D4"/>
    <w:rsid w:val="006647FD"/>
    <w:rsid w:val="006652A3"/>
    <w:rsid w:val="00665E0C"/>
    <w:rsid w:val="00666321"/>
    <w:rsid w:val="00667565"/>
    <w:rsid w:val="00667BDC"/>
    <w:rsid w:val="00667EFC"/>
    <w:rsid w:val="00671B0F"/>
    <w:rsid w:val="006726A8"/>
    <w:rsid w:val="006745DB"/>
    <w:rsid w:val="00674B0E"/>
    <w:rsid w:val="00674F11"/>
    <w:rsid w:val="00675017"/>
    <w:rsid w:val="00675EC7"/>
    <w:rsid w:val="00675FAD"/>
    <w:rsid w:val="006763B4"/>
    <w:rsid w:val="006810FB"/>
    <w:rsid w:val="006822C9"/>
    <w:rsid w:val="006824D2"/>
    <w:rsid w:val="00683753"/>
    <w:rsid w:val="006842DB"/>
    <w:rsid w:val="00686B76"/>
    <w:rsid w:val="00686E6A"/>
    <w:rsid w:val="00690A3C"/>
    <w:rsid w:val="00691D20"/>
    <w:rsid w:val="006922D3"/>
    <w:rsid w:val="0069252E"/>
    <w:rsid w:val="00695579"/>
    <w:rsid w:val="00695F91"/>
    <w:rsid w:val="00697554"/>
    <w:rsid w:val="00697EED"/>
    <w:rsid w:val="00697FDA"/>
    <w:rsid w:val="006A09BC"/>
    <w:rsid w:val="006A0A8C"/>
    <w:rsid w:val="006A25E5"/>
    <w:rsid w:val="006A284C"/>
    <w:rsid w:val="006A2883"/>
    <w:rsid w:val="006A301C"/>
    <w:rsid w:val="006A3885"/>
    <w:rsid w:val="006A5158"/>
    <w:rsid w:val="006A5646"/>
    <w:rsid w:val="006A65F9"/>
    <w:rsid w:val="006A7F50"/>
    <w:rsid w:val="006B0A09"/>
    <w:rsid w:val="006B122E"/>
    <w:rsid w:val="006B13E4"/>
    <w:rsid w:val="006B1C4C"/>
    <w:rsid w:val="006B1C8D"/>
    <w:rsid w:val="006B20AB"/>
    <w:rsid w:val="006B3C86"/>
    <w:rsid w:val="006B4743"/>
    <w:rsid w:val="006B5893"/>
    <w:rsid w:val="006B5DF8"/>
    <w:rsid w:val="006B5F04"/>
    <w:rsid w:val="006B6FCC"/>
    <w:rsid w:val="006B706C"/>
    <w:rsid w:val="006C13D5"/>
    <w:rsid w:val="006C2264"/>
    <w:rsid w:val="006C2A51"/>
    <w:rsid w:val="006C2A5F"/>
    <w:rsid w:val="006C47F7"/>
    <w:rsid w:val="006C56AB"/>
    <w:rsid w:val="006D0724"/>
    <w:rsid w:val="006D0D23"/>
    <w:rsid w:val="006D1097"/>
    <w:rsid w:val="006D11DE"/>
    <w:rsid w:val="006D1EAB"/>
    <w:rsid w:val="006D258E"/>
    <w:rsid w:val="006D26C2"/>
    <w:rsid w:val="006D2FD7"/>
    <w:rsid w:val="006D5D63"/>
    <w:rsid w:val="006D7F34"/>
    <w:rsid w:val="006E1B3B"/>
    <w:rsid w:val="006E2343"/>
    <w:rsid w:val="006E3D2A"/>
    <w:rsid w:val="006E6801"/>
    <w:rsid w:val="006E7402"/>
    <w:rsid w:val="006F178D"/>
    <w:rsid w:val="006F190C"/>
    <w:rsid w:val="006F43DC"/>
    <w:rsid w:val="006F4745"/>
    <w:rsid w:val="006F597D"/>
    <w:rsid w:val="006F7302"/>
    <w:rsid w:val="006F7D5A"/>
    <w:rsid w:val="006F7DF9"/>
    <w:rsid w:val="00700A41"/>
    <w:rsid w:val="00700CF0"/>
    <w:rsid w:val="007012F3"/>
    <w:rsid w:val="00702618"/>
    <w:rsid w:val="00703A66"/>
    <w:rsid w:val="00703C8F"/>
    <w:rsid w:val="007044CC"/>
    <w:rsid w:val="00704D0A"/>
    <w:rsid w:val="00705444"/>
    <w:rsid w:val="0070544B"/>
    <w:rsid w:val="0070583A"/>
    <w:rsid w:val="007059EB"/>
    <w:rsid w:val="00706048"/>
    <w:rsid w:val="0071087C"/>
    <w:rsid w:val="00710CE6"/>
    <w:rsid w:val="00710FB3"/>
    <w:rsid w:val="0071113A"/>
    <w:rsid w:val="00713B2F"/>
    <w:rsid w:val="00715367"/>
    <w:rsid w:val="007163C3"/>
    <w:rsid w:val="00716A3E"/>
    <w:rsid w:val="0071713F"/>
    <w:rsid w:val="00717C7A"/>
    <w:rsid w:val="00720158"/>
    <w:rsid w:val="00721E50"/>
    <w:rsid w:val="0072259C"/>
    <w:rsid w:val="0072353C"/>
    <w:rsid w:val="00723827"/>
    <w:rsid w:val="00725371"/>
    <w:rsid w:val="0072662A"/>
    <w:rsid w:val="007300A2"/>
    <w:rsid w:val="00730B04"/>
    <w:rsid w:val="00731CFD"/>
    <w:rsid w:val="007322BA"/>
    <w:rsid w:val="00732C01"/>
    <w:rsid w:val="007332C4"/>
    <w:rsid w:val="007333E3"/>
    <w:rsid w:val="007341E5"/>
    <w:rsid w:val="0073457A"/>
    <w:rsid w:val="0073527D"/>
    <w:rsid w:val="00736660"/>
    <w:rsid w:val="007374B7"/>
    <w:rsid w:val="007377D7"/>
    <w:rsid w:val="0074065D"/>
    <w:rsid w:val="00740A08"/>
    <w:rsid w:val="00741904"/>
    <w:rsid w:val="00741EA8"/>
    <w:rsid w:val="00743846"/>
    <w:rsid w:val="00744872"/>
    <w:rsid w:val="00745A63"/>
    <w:rsid w:val="00745CF0"/>
    <w:rsid w:val="007479A9"/>
    <w:rsid w:val="00752876"/>
    <w:rsid w:val="00752E42"/>
    <w:rsid w:val="00753CEA"/>
    <w:rsid w:val="00754790"/>
    <w:rsid w:val="007547F2"/>
    <w:rsid w:val="00754E3F"/>
    <w:rsid w:val="00754F96"/>
    <w:rsid w:val="00756216"/>
    <w:rsid w:val="00756E19"/>
    <w:rsid w:val="007576BE"/>
    <w:rsid w:val="00757DD9"/>
    <w:rsid w:val="00762123"/>
    <w:rsid w:val="00763553"/>
    <w:rsid w:val="0076363A"/>
    <w:rsid w:val="00764161"/>
    <w:rsid w:val="00764601"/>
    <w:rsid w:val="00764A42"/>
    <w:rsid w:val="00765477"/>
    <w:rsid w:val="007655E6"/>
    <w:rsid w:val="00765F82"/>
    <w:rsid w:val="00766135"/>
    <w:rsid w:val="0076733B"/>
    <w:rsid w:val="00767C39"/>
    <w:rsid w:val="00767E8A"/>
    <w:rsid w:val="00767FF1"/>
    <w:rsid w:val="007701DE"/>
    <w:rsid w:val="007714DC"/>
    <w:rsid w:val="007716E9"/>
    <w:rsid w:val="00775B07"/>
    <w:rsid w:val="0077627C"/>
    <w:rsid w:val="00776B2A"/>
    <w:rsid w:val="00777AB0"/>
    <w:rsid w:val="00777E65"/>
    <w:rsid w:val="007800B0"/>
    <w:rsid w:val="00780EA2"/>
    <w:rsid w:val="00781396"/>
    <w:rsid w:val="0078252D"/>
    <w:rsid w:val="00782884"/>
    <w:rsid w:val="00782FBA"/>
    <w:rsid w:val="00787BD6"/>
    <w:rsid w:val="00790109"/>
    <w:rsid w:val="00791EBE"/>
    <w:rsid w:val="00793179"/>
    <w:rsid w:val="00794DAE"/>
    <w:rsid w:val="007956CE"/>
    <w:rsid w:val="00795DB8"/>
    <w:rsid w:val="007968F0"/>
    <w:rsid w:val="00796A56"/>
    <w:rsid w:val="00796BD5"/>
    <w:rsid w:val="007A6C80"/>
    <w:rsid w:val="007A73E6"/>
    <w:rsid w:val="007B01FE"/>
    <w:rsid w:val="007B08BE"/>
    <w:rsid w:val="007B1C5F"/>
    <w:rsid w:val="007B269D"/>
    <w:rsid w:val="007B3DC8"/>
    <w:rsid w:val="007B4072"/>
    <w:rsid w:val="007B46B0"/>
    <w:rsid w:val="007B5B02"/>
    <w:rsid w:val="007C0139"/>
    <w:rsid w:val="007C1400"/>
    <w:rsid w:val="007C19B3"/>
    <w:rsid w:val="007C27A1"/>
    <w:rsid w:val="007C2A65"/>
    <w:rsid w:val="007C3003"/>
    <w:rsid w:val="007C3721"/>
    <w:rsid w:val="007C3864"/>
    <w:rsid w:val="007C3B74"/>
    <w:rsid w:val="007C4F51"/>
    <w:rsid w:val="007C53BB"/>
    <w:rsid w:val="007C63FE"/>
    <w:rsid w:val="007D0943"/>
    <w:rsid w:val="007D1D38"/>
    <w:rsid w:val="007D2052"/>
    <w:rsid w:val="007D2627"/>
    <w:rsid w:val="007D29C4"/>
    <w:rsid w:val="007D3E4F"/>
    <w:rsid w:val="007D5018"/>
    <w:rsid w:val="007D5B76"/>
    <w:rsid w:val="007D6D83"/>
    <w:rsid w:val="007D7538"/>
    <w:rsid w:val="007E0C65"/>
    <w:rsid w:val="007E1237"/>
    <w:rsid w:val="007E27A2"/>
    <w:rsid w:val="007E2AE4"/>
    <w:rsid w:val="007E3CE4"/>
    <w:rsid w:val="007E3F7F"/>
    <w:rsid w:val="007E41F8"/>
    <w:rsid w:val="007E501C"/>
    <w:rsid w:val="007E53C2"/>
    <w:rsid w:val="007E569D"/>
    <w:rsid w:val="007E6D9D"/>
    <w:rsid w:val="007E73DE"/>
    <w:rsid w:val="007E73FE"/>
    <w:rsid w:val="007F04FF"/>
    <w:rsid w:val="007F099D"/>
    <w:rsid w:val="007F10EB"/>
    <w:rsid w:val="007F16D4"/>
    <w:rsid w:val="007F1744"/>
    <w:rsid w:val="007F278E"/>
    <w:rsid w:val="007F2DD8"/>
    <w:rsid w:val="007F412A"/>
    <w:rsid w:val="007F4345"/>
    <w:rsid w:val="007F4A88"/>
    <w:rsid w:val="007F5EB2"/>
    <w:rsid w:val="007F7B40"/>
    <w:rsid w:val="0080102B"/>
    <w:rsid w:val="00801DFE"/>
    <w:rsid w:val="00802926"/>
    <w:rsid w:val="00802BA4"/>
    <w:rsid w:val="008030E5"/>
    <w:rsid w:val="00803168"/>
    <w:rsid w:val="00803999"/>
    <w:rsid w:val="0080429A"/>
    <w:rsid w:val="008047FF"/>
    <w:rsid w:val="0080616A"/>
    <w:rsid w:val="00806F23"/>
    <w:rsid w:val="00807335"/>
    <w:rsid w:val="00807C5E"/>
    <w:rsid w:val="00810F26"/>
    <w:rsid w:val="00811D87"/>
    <w:rsid w:val="008122FE"/>
    <w:rsid w:val="00814590"/>
    <w:rsid w:val="00814F00"/>
    <w:rsid w:val="00816937"/>
    <w:rsid w:val="0081774F"/>
    <w:rsid w:val="0082127D"/>
    <w:rsid w:val="008219F8"/>
    <w:rsid w:val="00822137"/>
    <w:rsid w:val="00822C01"/>
    <w:rsid w:val="008235DF"/>
    <w:rsid w:val="008236BA"/>
    <w:rsid w:val="008240B1"/>
    <w:rsid w:val="008240F1"/>
    <w:rsid w:val="00824A44"/>
    <w:rsid w:val="00825046"/>
    <w:rsid w:val="00825940"/>
    <w:rsid w:val="00826D8C"/>
    <w:rsid w:val="00826F1D"/>
    <w:rsid w:val="00826F70"/>
    <w:rsid w:val="008303EC"/>
    <w:rsid w:val="00830774"/>
    <w:rsid w:val="00830FB9"/>
    <w:rsid w:val="008310B1"/>
    <w:rsid w:val="0083266B"/>
    <w:rsid w:val="008329E0"/>
    <w:rsid w:val="00835C0D"/>
    <w:rsid w:val="00835D02"/>
    <w:rsid w:val="00836D92"/>
    <w:rsid w:val="0083783A"/>
    <w:rsid w:val="00840593"/>
    <w:rsid w:val="008409AF"/>
    <w:rsid w:val="008417C1"/>
    <w:rsid w:val="008424C4"/>
    <w:rsid w:val="00842E28"/>
    <w:rsid w:val="008431B0"/>
    <w:rsid w:val="008438C8"/>
    <w:rsid w:val="008438C9"/>
    <w:rsid w:val="008458E4"/>
    <w:rsid w:val="00846995"/>
    <w:rsid w:val="00847B00"/>
    <w:rsid w:val="00847B87"/>
    <w:rsid w:val="0085020D"/>
    <w:rsid w:val="00851425"/>
    <w:rsid w:val="00853630"/>
    <w:rsid w:val="00853758"/>
    <w:rsid w:val="00853AC3"/>
    <w:rsid w:val="008558F3"/>
    <w:rsid w:val="00855C16"/>
    <w:rsid w:val="008574A4"/>
    <w:rsid w:val="00860A8F"/>
    <w:rsid w:val="00861E63"/>
    <w:rsid w:val="0086290A"/>
    <w:rsid w:val="008629CA"/>
    <w:rsid w:val="00863339"/>
    <w:rsid w:val="0086397F"/>
    <w:rsid w:val="00864247"/>
    <w:rsid w:val="00865C39"/>
    <w:rsid w:val="00866FA1"/>
    <w:rsid w:val="00867886"/>
    <w:rsid w:val="00867AAF"/>
    <w:rsid w:val="0087096E"/>
    <w:rsid w:val="0087114B"/>
    <w:rsid w:val="00871F26"/>
    <w:rsid w:val="00872F86"/>
    <w:rsid w:val="0088083C"/>
    <w:rsid w:val="00881ED7"/>
    <w:rsid w:val="00883411"/>
    <w:rsid w:val="008839DE"/>
    <w:rsid w:val="00884AE4"/>
    <w:rsid w:val="008855D6"/>
    <w:rsid w:val="00886707"/>
    <w:rsid w:val="00886795"/>
    <w:rsid w:val="00886B3D"/>
    <w:rsid w:val="00886FB5"/>
    <w:rsid w:val="00887E74"/>
    <w:rsid w:val="0089011F"/>
    <w:rsid w:val="008903D4"/>
    <w:rsid w:val="00891547"/>
    <w:rsid w:val="0089157E"/>
    <w:rsid w:val="00893152"/>
    <w:rsid w:val="008931F0"/>
    <w:rsid w:val="00893BBB"/>
    <w:rsid w:val="0089605F"/>
    <w:rsid w:val="00896787"/>
    <w:rsid w:val="00896ED7"/>
    <w:rsid w:val="008A004E"/>
    <w:rsid w:val="008A04B0"/>
    <w:rsid w:val="008A0CC2"/>
    <w:rsid w:val="008A368B"/>
    <w:rsid w:val="008A4D55"/>
    <w:rsid w:val="008A6909"/>
    <w:rsid w:val="008A6E81"/>
    <w:rsid w:val="008A71C7"/>
    <w:rsid w:val="008A73C3"/>
    <w:rsid w:val="008B079E"/>
    <w:rsid w:val="008B1372"/>
    <w:rsid w:val="008B1A8C"/>
    <w:rsid w:val="008B1D6A"/>
    <w:rsid w:val="008B2795"/>
    <w:rsid w:val="008B31F9"/>
    <w:rsid w:val="008B3908"/>
    <w:rsid w:val="008B3B08"/>
    <w:rsid w:val="008B3C51"/>
    <w:rsid w:val="008B481E"/>
    <w:rsid w:val="008B4C28"/>
    <w:rsid w:val="008B660D"/>
    <w:rsid w:val="008B66D9"/>
    <w:rsid w:val="008B6AFF"/>
    <w:rsid w:val="008B6CD5"/>
    <w:rsid w:val="008B76E1"/>
    <w:rsid w:val="008B7FB3"/>
    <w:rsid w:val="008C11C3"/>
    <w:rsid w:val="008C18FB"/>
    <w:rsid w:val="008C19B6"/>
    <w:rsid w:val="008C1C6C"/>
    <w:rsid w:val="008C6578"/>
    <w:rsid w:val="008C6FE0"/>
    <w:rsid w:val="008D00AE"/>
    <w:rsid w:val="008D0EEA"/>
    <w:rsid w:val="008D178C"/>
    <w:rsid w:val="008D50D7"/>
    <w:rsid w:val="008D526D"/>
    <w:rsid w:val="008D6D2B"/>
    <w:rsid w:val="008D6EE8"/>
    <w:rsid w:val="008D6F1D"/>
    <w:rsid w:val="008E0386"/>
    <w:rsid w:val="008E03C8"/>
    <w:rsid w:val="008E128B"/>
    <w:rsid w:val="008E13AC"/>
    <w:rsid w:val="008E44B1"/>
    <w:rsid w:val="008E6869"/>
    <w:rsid w:val="008E78AB"/>
    <w:rsid w:val="008E7CCC"/>
    <w:rsid w:val="008F0AB4"/>
    <w:rsid w:val="008F0BEA"/>
    <w:rsid w:val="008F16FF"/>
    <w:rsid w:val="008F230E"/>
    <w:rsid w:val="008F31A9"/>
    <w:rsid w:val="008F34EB"/>
    <w:rsid w:val="008F42FC"/>
    <w:rsid w:val="008F46C1"/>
    <w:rsid w:val="008F5F8E"/>
    <w:rsid w:val="008F6566"/>
    <w:rsid w:val="008F71BF"/>
    <w:rsid w:val="008F7FC7"/>
    <w:rsid w:val="0090029E"/>
    <w:rsid w:val="00900396"/>
    <w:rsid w:val="00900746"/>
    <w:rsid w:val="00900A92"/>
    <w:rsid w:val="00901746"/>
    <w:rsid w:val="00903CA4"/>
    <w:rsid w:val="00904A63"/>
    <w:rsid w:val="009058DA"/>
    <w:rsid w:val="00906418"/>
    <w:rsid w:val="009070A0"/>
    <w:rsid w:val="009073BA"/>
    <w:rsid w:val="00907715"/>
    <w:rsid w:val="00907B63"/>
    <w:rsid w:val="00910D82"/>
    <w:rsid w:val="0091196F"/>
    <w:rsid w:val="00911ACD"/>
    <w:rsid w:val="00913A4B"/>
    <w:rsid w:val="00914138"/>
    <w:rsid w:val="009143E8"/>
    <w:rsid w:val="00914817"/>
    <w:rsid w:val="00915121"/>
    <w:rsid w:val="0091701E"/>
    <w:rsid w:val="00920B6A"/>
    <w:rsid w:val="009219F4"/>
    <w:rsid w:val="00921CB9"/>
    <w:rsid w:val="009229C1"/>
    <w:rsid w:val="00923D41"/>
    <w:rsid w:val="00923FC9"/>
    <w:rsid w:val="0092494F"/>
    <w:rsid w:val="009275C2"/>
    <w:rsid w:val="00930311"/>
    <w:rsid w:val="0093192B"/>
    <w:rsid w:val="009321D7"/>
    <w:rsid w:val="00933E04"/>
    <w:rsid w:val="00934F51"/>
    <w:rsid w:val="00935364"/>
    <w:rsid w:val="00935E01"/>
    <w:rsid w:val="0093782B"/>
    <w:rsid w:val="00937C37"/>
    <w:rsid w:val="00940EAC"/>
    <w:rsid w:val="00940FF5"/>
    <w:rsid w:val="0094121D"/>
    <w:rsid w:val="009424DC"/>
    <w:rsid w:val="00942E6C"/>
    <w:rsid w:val="0094357F"/>
    <w:rsid w:val="00943DEF"/>
    <w:rsid w:val="00943ED2"/>
    <w:rsid w:val="00944D92"/>
    <w:rsid w:val="00945DF6"/>
    <w:rsid w:val="009502E2"/>
    <w:rsid w:val="009532E7"/>
    <w:rsid w:val="00954EDC"/>
    <w:rsid w:val="00954FBE"/>
    <w:rsid w:val="00955680"/>
    <w:rsid w:val="009559A8"/>
    <w:rsid w:val="00955F1F"/>
    <w:rsid w:val="00956E5B"/>
    <w:rsid w:val="009572BF"/>
    <w:rsid w:val="009576B1"/>
    <w:rsid w:val="00961440"/>
    <w:rsid w:val="009616FE"/>
    <w:rsid w:val="00963EE0"/>
    <w:rsid w:val="00965325"/>
    <w:rsid w:val="00965B1D"/>
    <w:rsid w:val="00965E99"/>
    <w:rsid w:val="0096730A"/>
    <w:rsid w:val="009676DF"/>
    <w:rsid w:val="00967775"/>
    <w:rsid w:val="00967817"/>
    <w:rsid w:val="0096789E"/>
    <w:rsid w:val="009707BD"/>
    <w:rsid w:val="00970FDD"/>
    <w:rsid w:val="00971CFA"/>
    <w:rsid w:val="009721CC"/>
    <w:rsid w:val="00972D63"/>
    <w:rsid w:val="00973E4C"/>
    <w:rsid w:val="0097619E"/>
    <w:rsid w:val="009761F1"/>
    <w:rsid w:val="00976597"/>
    <w:rsid w:val="009766D5"/>
    <w:rsid w:val="00976720"/>
    <w:rsid w:val="00977283"/>
    <w:rsid w:val="0098073E"/>
    <w:rsid w:val="0098100C"/>
    <w:rsid w:val="009810D2"/>
    <w:rsid w:val="00981351"/>
    <w:rsid w:val="00983FBD"/>
    <w:rsid w:val="00985167"/>
    <w:rsid w:val="00985829"/>
    <w:rsid w:val="009868E8"/>
    <w:rsid w:val="00987529"/>
    <w:rsid w:val="009877F4"/>
    <w:rsid w:val="00987879"/>
    <w:rsid w:val="00990465"/>
    <w:rsid w:val="00990658"/>
    <w:rsid w:val="00990B77"/>
    <w:rsid w:val="00992017"/>
    <w:rsid w:val="00993A47"/>
    <w:rsid w:val="009943AE"/>
    <w:rsid w:val="0099636D"/>
    <w:rsid w:val="009A1055"/>
    <w:rsid w:val="009A1A33"/>
    <w:rsid w:val="009A1C15"/>
    <w:rsid w:val="009A2AB4"/>
    <w:rsid w:val="009A4170"/>
    <w:rsid w:val="009A4511"/>
    <w:rsid w:val="009A4999"/>
    <w:rsid w:val="009A5C1B"/>
    <w:rsid w:val="009A7419"/>
    <w:rsid w:val="009A7E81"/>
    <w:rsid w:val="009B1A68"/>
    <w:rsid w:val="009B30CC"/>
    <w:rsid w:val="009B33DD"/>
    <w:rsid w:val="009B3450"/>
    <w:rsid w:val="009B3D33"/>
    <w:rsid w:val="009B50B0"/>
    <w:rsid w:val="009B600B"/>
    <w:rsid w:val="009B6276"/>
    <w:rsid w:val="009B6E7D"/>
    <w:rsid w:val="009B78B5"/>
    <w:rsid w:val="009B7912"/>
    <w:rsid w:val="009C0559"/>
    <w:rsid w:val="009C1108"/>
    <w:rsid w:val="009C148D"/>
    <w:rsid w:val="009C3790"/>
    <w:rsid w:val="009C3C8F"/>
    <w:rsid w:val="009C4DB6"/>
    <w:rsid w:val="009C5ECA"/>
    <w:rsid w:val="009C654D"/>
    <w:rsid w:val="009C65C8"/>
    <w:rsid w:val="009C6D77"/>
    <w:rsid w:val="009C6D8C"/>
    <w:rsid w:val="009C7142"/>
    <w:rsid w:val="009D04DC"/>
    <w:rsid w:val="009D1FB6"/>
    <w:rsid w:val="009D2B12"/>
    <w:rsid w:val="009D3167"/>
    <w:rsid w:val="009D57D4"/>
    <w:rsid w:val="009D5B50"/>
    <w:rsid w:val="009D637F"/>
    <w:rsid w:val="009E0ED9"/>
    <w:rsid w:val="009E15B9"/>
    <w:rsid w:val="009E1F32"/>
    <w:rsid w:val="009E25B2"/>
    <w:rsid w:val="009E3C5F"/>
    <w:rsid w:val="009E4757"/>
    <w:rsid w:val="009E4A6E"/>
    <w:rsid w:val="009E5AE5"/>
    <w:rsid w:val="009E79EB"/>
    <w:rsid w:val="009F0068"/>
    <w:rsid w:val="009F18BA"/>
    <w:rsid w:val="009F1BBD"/>
    <w:rsid w:val="009F406B"/>
    <w:rsid w:val="009F6530"/>
    <w:rsid w:val="00A00595"/>
    <w:rsid w:val="00A00F68"/>
    <w:rsid w:val="00A0137D"/>
    <w:rsid w:val="00A015BA"/>
    <w:rsid w:val="00A01EAA"/>
    <w:rsid w:val="00A02742"/>
    <w:rsid w:val="00A02B25"/>
    <w:rsid w:val="00A04B79"/>
    <w:rsid w:val="00A062F2"/>
    <w:rsid w:val="00A06F7B"/>
    <w:rsid w:val="00A070B9"/>
    <w:rsid w:val="00A10A4E"/>
    <w:rsid w:val="00A10C66"/>
    <w:rsid w:val="00A116B0"/>
    <w:rsid w:val="00A1189A"/>
    <w:rsid w:val="00A118F9"/>
    <w:rsid w:val="00A13E6B"/>
    <w:rsid w:val="00A1426B"/>
    <w:rsid w:val="00A153E5"/>
    <w:rsid w:val="00A20A02"/>
    <w:rsid w:val="00A20D6A"/>
    <w:rsid w:val="00A21412"/>
    <w:rsid w:val="00A224CF"/>
    <w:rsid w:val="00A22D4D"/>
    <w:rsid w:val="00A22D5B"/>
    <w:rsid w:val="00A2463A"/>
    <w:rsid w:val="00A246E0"/>
    <w:rsid w:val="00A24DC8"/>
    <w:rsid w:val="00A31CEB"/>
    <w:rsid w:val="00A330D0"/>
    <w:rsid w:val="00A34B49"/>
    <w:rsid w:val="00A35D4F"/>
    <w:rsid w:val="00A35F8F"/>
    <w:rsid w:val="00A35FAF"/>
    <w:rsid w:val="00A35FDB"/>
    <w:rsid w:val="00A36011"/>
    <w:rsid w:val="00A37275"/>
    <w:rsid w:val="00A3777F"/>
    <w:rsid w:val="00A4026A"/>
    <w:rsid w:val="00A42684"/>
    <w:rsid w:val="00A4361B"/>
    <w:rsid w:val="00A44C7A"/>
    <w:rsid w:val="00A44D77"/>
    <w:rsid w:val="00A450A5"/>
    <w:rsid w:val="00A4547E"/>
    <w:rsid w:val="00A46541"/>
    <w:rsid w:val="00A51E7E"/>
    <w:rsid w:val="00A51FE2"/>
    <w:rsid w:val="00A525F8"/>
    <w:rsid w:val="00A5289B"/>
    <w:rsid w:val="00A52EA7"/>
    <w:rsid w:val="00A53D46"/>
    <w:rsid w:val="00A53E46"/>
    <w:rsid w:val="00A54EDB"/>
    <w:rsid w:val="00A54F90"/>
    <w:rsid w:val="00A57FC0"/>
    <w:rsid w:val="00A61B99"/>
    <w:rsid w:val="00A61C6B"/>
    <w:rsid w:val="00A61F66"/>
    <w:rsid w:val="00A62646"/>
    <w:rsid w:val="00A62C18"/>
    <w:rsid w:val="00A6452F"/>
    <w:rsid w:val="00A66293"/>
    <w:rsid w:val="00A67113"/>
    <w:rsid w:val="00A67297"/>
    <w:rsid w:val="00A713FF"/>
    <w:rsid w:val="00A7191B"/>
    <w:rsid w:val="00A71EC7"/>
    <w:rsid w:val="00A743D1"/>
    <w:rsid w:val="00A750FD"/>
    <w:rsid w:val="00A757FF"/>
    <w:rsid w:val="00A75D37"/>
    <w:rsid w:val="00A77142"/>
    <w:rsid w:val="00A81A25"/>
    <w:rsid w:val="00A81DFC"/>
    <w:rsid w:val="00A825DA"/>
    <w:rsid w:val="00A838FD"/>
    <w:rsid w:val="00A8422E"/>
    <w:rsid w:val="00A85675"/>
    <w:rsid w:val="00A878B4"/>
    <w:rsid w:val="00A90A5F"/>
    <w:rsid w:val="00A93076"/>
    <w:rsid w:val="00A947AA"/>
    <w:rsid w:val="00A9526E"/>
    <w:rsid w:val="00A9557B"/>
    <w:rsid w:val="00A95E87"/>
    <w:rsid w:val="00A95FE8"/>
    <w:rsid w:val="00A965BC"/>
    <w:rsid w:val="00AA09FF"/>
    <w:rsid w:val="00AA0E3C"/>
    <w:rsid w:val="00AA1619"/>
    <w:rsid w:val="00AA1B03"/>
    <w:rsid w:val="00AA2110"/>
    <w:rsid w:val="00AA2602"/>
    <w:rsid w:val="00AA2BD7"/>
    <w:rsid w:val="00AA498C"/>
    <w:rsid w:val="00AA4FC1"/>
    <w:rsid w:val="00AA5728"/>
    <w:rsid w:val="00AA6C7D"/>
    <w:rsid w:val="00AA6F8B"/>
    <w:rsid w:val="00AA70B6"/>
    <w:rsid w:val="00AB0066"/>
    <w:rsid w:val="00AB0FFB"/>
    <w:rsid w:val="00AB1F3D"/>
    <w:rsid w:val="00AB2492"/>
    <w:rsid w:val="00AB2991"/>
    <w:rsid w:val="00AB308B"/>
    <w:rsid w:val="00AB48EE"/>
    <w:rsid w:val="00AB6F4E"/>
    <w:rsid w:val="00AB72BF"/>
    <w:rsid w:val="00AC2CB6"/>
    <w:rsid w:val="00AC37C8"/>
    <w:rsid w:val="00AC4ABC"/>
    <w:rsid w:val="00AC5CC1"/>
    <w:rsid w:val="00AC5F62"/>
    <w:rsid w:val="00AC6828"/>
    <w:rsid w:val="00AC7DF8"/>
    <w:rsid w:val="00AC7EEA"/>
    <w:rsid w:val="00AD07F3"/>
    <w:rsid w:val="00AD09A2"/>
    <w:rsid w:val="00AD0A55"/>
    <w:rsid w:val="00AD0D0B"/>
    <w:rsid w:val="00AD0E10"/>
    <w:rsid w:val="00AD17DE"/>
    <w:rsid w:val="00AD2081"/>
    <w:rsid w:val="00AD56B6"/>
    <w:rsid w:val="00AD57FF"/>
    <w:rsid w:val="00AD71A2"/>
    <w:rsid w:val="00AD7995"/>
    <w:rsid w:val="00AE071B"/>
    <w:rsid w:val="00AE1C68"/>
    <w:rsid w:val="00AE3008"/>
    <w:rsid w:val="00AE465E"/>
    <w:rsid w:val="00AE4D50"/>
    <w:rsid w:val="00AE6C9C"/>
    <w:rsid w:val="00AF1102"/>
    <w:rsid w:val="00AF31C6"/>
    <w:rsid w:val="00AF3E9F"/>
    <w:rsid w:val="00AF5CFC"/>
    <w:rsid w:val="00AF7C08"/>
    <w:rsid w:val="00B00A2A"/>
    <w:rsid w:val="00B00FE8"/>
    <w:rsid w:val="00B028BD"/>
    <w:rsid w:val="00B067ED"/>
    <w:rsid w:val="00B07AB3"/>
    <w:rsid w:val="00B10978"/>
    <w:rsid w:val="00B10998"/>
    <w:rsid w:val="00B11000"/>
    <w:rsid w:val="00B15E55"/>
    <w:rsid w:val="00B1655C"/>
    <w:rsid w:val="00B17872"/>
    <w:rsid w:val="00B216A6"/>
    <w:rsid w:val="00B23735"/>
    <w:rsid w:val="00B244D8"/>
    <w:rsid w:val="00B245C6"/>
    <w:rsid w:val="00B259E8"/>
    <w:rsid w:val="00B263A4"/>
    <w:rsid w:val="00B2654F"/>
    <w:rsid w:val="00B26913"/>
    <w:rsid w:val="00B2717E"/>
    <w:rsid w:val="00B27E2A"/>
    <w:rsid w:val="00B30082"/>
    <w:rsid w:val="00B328FC"/>
    <w:rsid w:val="00B33B7A"/>
    <w:rsid w:val="00B34428"/>
    <w:rsid w:val="00B3468D"/>
    <w:rsid w:val="00B402AB"/>
    <w:rsid w:val="00B40457"/>
    <w:rsid w:val="00B40B67"/>
    <w:rsid w:val="00B43A1E"/>
    <w:rsid w:val="00B44AF7"/>
    <w:rsid w:val="00B45F6E"/>
    <w:rsid w:val="00B4693A"/>
    <w:rsid w:val="00B5093C"/>
    <w:rsid w:val="00B54B83"/>
    <w:rsid w:val="00B551C4"/>
    <w:rsid w:val="00B55592"/>
    <w:rsid w:val="00B55633"/>
    <w:rsid w:val="00B55853"/>
    <w:rsid w:val="00B55E9A"/>
    <w:rsid w:val="00B55F2F"/>
    <w:rsid w:val="00B566F2"/>
    <w:rsid w:val="00B573F8"/>
    <w:rsid w:val="00B57A79"/>
    <w:rsid w:val="00B6189F"/>
    <w:rsid w:val="00B62464"/>
    <w:rsid w:val="00B62E26"/>
    <w:rsid w:val="00B66349"/>
    <w:rsid w:val="00B67A1F"/>
    <w:rsid w:val="00B72369"/>
    <w:rsid w:val="00B73234"/>
    <w:rsid w:val="00B75BEF"/>
    <w:rsid w:val="00B767B4"/>
    <w:rsid w:val="00B7681C"/>
    <w:rsid w:val="00B772BF"/>
    <w:rsid w:val="00B80A34"/>
    <w:rsid w:val="00B80A59"/>
    <w:rsid w:val="00B80E75"/>
    <w:rsid w:val="00B815C7"/>
    <w:rsid w:val="00B822E2"/>
    <w:rsid w:val="00B82AF2"/>
    <w:rsid w:val="00B869E3"/>
    <w:rsid w:val="00B86F3A"/>
    <w:rsid w:val="00B8702B"/>
    <w:rsid w:val="00B8740D"/>
    <w:rsid w:val="00B9040D"/>
    <w:rsid w:val="00B93C4B"/>
    <w:rsid w:val="00B945F4"/>
    <w:rsid w:val="00B94BA1"/>
    <w:rsid w:val="00B95104"/>
    <w:rsid w:val="00B951F0"/>
    <w:rsid w:val="00B958F0"/>
    <w:rsid w:val="00B95A2A"/>
    <w:rsid w:val="00BA23D3"/>
    <w:rsid w:val="00BA2A74"/>
    <w:rsid w:val="00BA2ED4"/>
    <w:rsid w:val="00BA3444"/>
    <w:rsid w:val="00BA36D4"/>
    <w:rsid w:val="00BA6076"/>
    <w:rsid w:val="00BA60E7"/>
    <w:rsid w:val="00BA6A7B"/>
    <w:rsid w:val="00BA7BE6"/>
    <w:rsid w:val="00BB1A11"/>
    <w:rsid w:val="00BB2762"/>
    <w:rsid w:val="00BB4134"/>
    <w:rsid w:val="00BB4907"/>
    <w:rsid w:val="00BB4A19"/>
    <w:rsid w:val="00BB7E05"/>
    <w:rsid w:val="00BC2290"/>
    <w:rsid w:val="00BC3345"/>
    <w:rsid w:val="00BC3C69"/>
    <w:rsid w:val="00BC3DDA"/>
    <w:rsid w:val="00BC57B2"/>
    <w:rsid w:val="00BC701A"/>
    <w:rsid w:val="00BC72F2"/>
    <w:rsid w:val="00BC7816"/>
    <w:rsid w:val="00BD0900"/>
    <w:rsid w:val="00BD1CD6"/>
    <w:rsid w:val="00BD2194"/>
    <w:rsid w:val="00BD21E6"/>
    <w:rsid w:val="00BD389F"/>
    <w:rsid w:val="00BD3AF2"/>
    <w:rsid w:val="00BD582E"/>
    <w:rsid w:val="00BD64B3"/>
    <w:rsid w:val="00BD703D"/>
    <w:rsid w:val="00BD711B"/>
    <w:rsid w:val="00BE0D1A"/>
    <w:rsid w:val="00BE4504"/>
    <w:rsid w:val="00BE52D8"/>
    <w:rsid w:val="00BE7921"/>
    <w:rsid w:val="00BF0EC2"/>
    <w:rsid w:val="00BF105B"/>
    <w:rsid w:val="00BF2AB1"/>
    <w:rsid w:val="00BF2BC5"/>
    <w:rsid w:val="00BF3B30"/>
    <w:rsid w:val="00BF3C6C"/>
    <w:rsid w:val="00BF4551"/>
    <w:rsid w:val="00BF5DAD"/>
    <w:rsid w:val="00BF6D92"/>
    <w:rsid w:val="00BF7472"/>
    <w:rsid w:val="00BF77D2"/>
    <w:rsid w:val="00C00719"/>
    <w:rsid w:val="00C0334C"/>
    <w:rsid w:val="00C03E08"/>
    <w:rsid w:val="00C049E0"/>
    <w:rsid w:val="00C05C4F"/>
    <w:rsid w:val="00C06253"/>
    <w:rsid w:val="00C069E8"/>
    <w:rsid w:val="00C06D68"/>
    <w:rsid w:val="00C07AAB"/>
    <w:rsid w:val="00C07F88"/>
    <w:rsid w:val="00C103EE"/>
    <w:rsid w:val="00C10578"/>
    <w:rsid w:val="00C10E2F"/>
    <w:rsid w:val="00C11761"/>
    <w:rsid w:val="00C12ECD"/>
    <w:rsid w:val="00C13EE0"/>
    <w:rsid w:val="00C140E5"/>
    <w:rsid w:val="00C1453E"/>
    <w:rsid w:val="00C15379"/>
    <w:rsid w:val="00C16196"/>
    <w:rsid w:val="00C176C9"/>
    <w:rsid w:val="00C20046"/>
    <w:rsid w:val="00C20A1D"/>
    <w:rsid w:val="00C23D21"/>
    <w:rsid w:val="00C26284"/>
    <w:rsid w:val="00C277A5"/>
    <w:rsid w:val="00C30EC8"/>
    <w:rsid w:val="00C31D4B"/>
    <w:rsid w:val="00C31DC6"/>
    <w:rsid w:val="00C33FBD"/>
    <w:rsid w:val="00C342B9"/>
    <w:rsid w:val="00C34E5F"/>
    <w:rsid w:val="00C35991"/>
    <w:rsid w:val="00C40943"/>
    <w:rsid w:val="00C40FDC"/>
    <w:rsid w:val="00C41796"/>
    <w:rsid w:val="00C428D2"/>
    <w:rsid w:val="00C43B13"/>
    <w:rsid w:val="00C43F46"/>
    <w:rsid w:val="00C45625"/>
    <w:rsid w:val="00C459CF"/>
    <w:rsid w:val="00C45DCB"/>
    <w:rsid w:val="00C45FA3"/>
    <w:rsid w:val="00C46019"/>
    <w:rsid w:val="00C4727E"/>
    <w:rsid w:val="00C47390"/>
    <w:rsid w:val="00C51130"/>
    <w:rsid w:val="00C51B6E"/>
    <w:rsid w:val="00C527C2"/>
    <w:rsid w:val="00C53679"/>
    <w:rsid w:val="00C53B2E"/>
    <w:rsid w:val="00C54731"/>
    <w:rsid w:val="00C60751"/>
    <w:rsid w:val="00C62092"/>
    <w:rsid w:val="00C63692"/>
    <w:rsid w:val="00C65CA5"/>
    <w:rsid w:val="00C66C28"/>
    <w:rsid w:val="00C676D0"/>
    <w:rsid w:val="00C70615"/>
    <w:rsid w:val="00C70E4D"/>
    <w:rsid w:val="00C714A1"/>
    <w:rsid w:val="00C71B7B"/>
    <w:rsid w:val="00C71E50"/>
    <w:rsid w:val="00C73338"/>
    <w:rsid w:val="00C75401"/>
    <w:rsid w:val="00C75965"/>
    <w:rsid w:val="00C773CC"/>
    <w:rsid w:val="00C77CC7"/>
    <w:rsid w:val="00C804B3"/>
    <w:rsid w:val="00C808F4"/>
    <w:rsid w:val="00C8109D"/>
    <w:rsid w:val="00C817C9"/>
    <w:rsid w:val="00C82073"/>
    <w:rsid w:val="00C8251C"/>
    <w:rsid w:val="00C8261E"/>
    <w:rsid w:val="00C84050"/>
    <w:rsid w:val="00C84AB7"/>
    <w:rsid w:val="00C86B2E"/>
    <w:rsid w:val="00C86CA5"/>
    <w:rsid w:val="00C9016D"/>
    <w:rsid w:val="00C9100F"/>
    <w:rsid w:val="00C91A26"/>
    <w:rsid w:val="00C92CD2"/>
    <w:rsid w:val="00C93D22"/>
    <w:rsid w:val="00C96A7D"/>
    <w:rsid w:val="00C96D6C"/>
    <w:rsid w:val="00C9707D"/>
    <w:rsid w:val="00C971A0"/>
    <w:rsid w:val="00C97D0D"/>
    <w:rsid w:val="00CA0107"/>
    <w:rsid w:val="00CA1260"/>
    <w:rsid w:val="00CA28C3"/>
    <w:rsid w:val="00CA2A20"/>
    <w:rsid w:val="00CA340A"/>
    <w:rsid w:val="00CA3912"/>
    <w:rsid w:val="00CA436F"/>
    <w:rsid w:val="00CA5062"/>
    <w:rsid w:val="00CA5265"/>
    <w:rsid w:val="00CA53E2"/>
    <w:rsid w:val="00CA58CD"/>
    <w:rsid w:val="00CA6072"/>
    <w:rsid w:val="00CA6719"/>
    <w:rsid w:val="00CB0FB8"/>
    <w:rsid w:val="00CB142E"/>
    <w:rsid w:val="00CB4742"/>
    <w:rsid w:val="00CB4812"/>
    <w:rsid w:val="00CB4975"/>
    <w:rsid w:val="00CB569C"/>
    <w:rsid w:val="00CB6D98"/>
    <w:rsid w:val="00CB77F9"/>
    <w:rsid w:val="00CB7C30"/>
    <w:rsid w:val="00CC0220"/>
    <w:rsid w:val="00CC0C8F"/>
    <w:rsid w:val="00CC0FE0"/>
    <w:rsid w:val="00CC54E8"/>
    <w:rsid w:val="00CC5709"/>
    <w:rsid w:val="00CD01AF"/>
    <w:rsid w:val="00CD04A0"/>
    <w:rsid w:val="00CD238F"/>
    <w:rsid w:val="00CD2E79"/>
    <w:rsid w:val="00CD2FB8"/>
    <w:rsid w:val="00CD4204"/>
    <w:rsid w:val="00CD4D1E"/>
    <w:rsid w:val="00CD4F0A"/>
    <w:rsid w:val="00CD5AE8"/>
    <w:rsid w:val="00CD6694"/>
    <w:rsid w:val="00CD6DF2"/>
    <w:rsid w:val="00CD7827"/>
    <w:rsid w:val="00CD7F20"/>
    <w:rsid w:val="00CE2BFC"/>
    <w:rsid w:val="00CE31B9"/>
    <w:rsid w:val="00CE496C"/>
    <w:rsid w:val="00CE5DEE"/>
    <w:rsid w:val="00CE6B50"/>
    <w:rsid w:val="00CF05BC"/>
    <w:rsid w:val="00CF1291"/>
    <w:rsid w:val="00CF165A"/>
    <w:rsid w:val="00CF19F7"/>
    <w:rsid w:val="00CF262D"/>
    <w:rsid w:val="00CF5D69"/>
    <w:rsid w:val="00CF61A6"/>
    <w:rsid w:val="00CF6A23"/>
    <w:rsid w:val="00CF6BAA"/>
    <w:rsid w:val="00D00BAA"/>
    <w:rsid w:val="00D02751"/>
    <w:rsid w:val="00D03912"/>
    <w:rsid w:val="00D04688"/>
    <w:rsid w:val="00D0507F"/>
    <w:rsid w:val="00D059A4"/>
    <w:rsid w:val="00D06210"/>
    <w:rsid w:val="00D11F5B"/>
    <w:rsid w:val="00D13781"/>
    <w:rsid w:val="00D1378F"/>
    <w:rsid w:val="00D139F3"/>
    <w:rsid w:val="00D13FF5"/>
    <w:rsid w:val="00D14B5F"/>
    <w:rsid w:val="00D14D8B"/>
    <w:rsid w:val="00D15C68"/>
    <w:rsid w:val="00D15F0A"/>
    <w:rsid w:val="00D20E62"/>
    <w:rsid w:val="00D2126F"/>
    <w:rsid w:val="00D218C7"/>
    <w:rsid w:val="00D2255D"/>
    <w:rsid w:val="00D231E5"/>
    <w:rsid w:val="00D23B88"/>
    <w:rsid w:val="00D248E6"/>
    <w:rsid w:val="00D24B4F"/>
    <w:rsid w:val="00D27A5C"/>
    <w:rsid w:val="00D30717"/>
    <w:rsid w:val="00D30947"/>
    <w:rsid w:val="00D31073"/>
    <w:rsid w:val="00D31183"/>
    <w:rsid w:val="00D3546A"/>
    <w:rsid w:val="00D35726"/>
    <w:rsid w:val="00D364A0"/>
    <w:rsid w:val="00D3768A"/>
    <w:rsid w:val="00D37767"/>
    <w:rsid w:val="00D40CA5"/>
    <w:rsid w:val="00D41C3D"/>
    <w:rsid w:val="00D434CF"/>
    <w:rsid w:val="00D44B97"/>
    <w:rsid w:val="00D45114"/>
    <w:rsid w:val="00D458D5"/>
    <w:rsid w:val="00D46A67"/>
    <w:rsid w:val="00D47620"/>
    <w:rsid w:val="00D501FC"/>
    <w:rsid w:val="00D50617"/>
    <w:rsid w:val="00D51C9F"/>
    <w:rsid w:val="00D520D6"/>
    <w:rsid w:val="00D52AA2"/>
    <w:rsid w:val="00D54867"/>
    <w:rsid w:val="00D55759"/>
    <w:rsid w:val="00D55FEA"/>
    <w:rsid w:val="00D56EB4"/>
    <w:rsid w:val="00D56F1B"/>
    <w:rsid w:val="00D57DDF"/>
    <w:rsid w:val="00D610F3"/>
    <w:rsid w:val="00D61464"/>
    <w:rsid w:val="00D61E37"/>
    <w:rsid w:val="00D62F71"/>
    <w:rsid w:val="00D65A81"/>
    <w:rsid w:val="00D6675F"/>
    <w:rsid w:val="00D668D2"/>
    <w:rsid w:val="00D7066F"/>
    <w:rsid w:val="00D72124"/>
    <w:rsid w:val="00D730D1"/>
    <w:rsid w:val="00D73E7B"/>
    <w:rsid w:val="00D75969"/>
    <w:rsid w:val="00D75F5E"/>
    <w:rsid w:val="00D777C1"/>
    <w:rsid w:val="00D81487"/>
    <w:rsid w:val="00D819E1"/>
    <w:rsid w:val="00D81A5D"/>
    <w:rsid w:val="00D82A45"/>
    <w:rsid w:val="00D86201"/>
    <w:rsid w:val="00D86B92"/>
    <w:rsid w:val="00D86F8C"/>
    <w:rsid w:val="00D87162"/>
    <w:rsid w:val="00D872D7"/>
    <w:rsid w:val="00D91ADB"/>
    <w:rsid w:val="00D91DBC"/>
    <w:rsid w:val="00D93181"/>
    <w:rsid w:val="00D93EF6"/>
    <w:rsid w:val="00D95261"/>
    <w:rsid w:val="00D95C91"/>
    <w:rsid w:val="00D96212"/>
    <w:rsid w:val="00D9787A"/>
    <w:rsid w:val="00DA0DB9"/>
    <w:rsid w:val="00DA2186"/>
    <w:rsid w:val="00DA23EA"/>
    <w:rsid w:val="00DA24BE"/>
    <w:rsid w:val="00DA29D6"/>
    <w:rsid w:val="00DA2D46"/>
    <w:rsid w:val="00DA5089"/>
    <w:rsid w:val="00DA5B35"/>
    <w:rsid w:val="00DA614F"/>
    <w:rsid w:val="00DA6773"/>
    <w:rsid w:val="00DA70C0"/>
    <w:rsid w:val="00DA781F"/>
    <w:rsid w:val="00DA78A3"/>
    <w:rsid w:val="00DA7EA3"/>
    <w:rsid w:val="00DB066F"/>
    <w:rsid w:val="00DB32B2"/>
    <w:rsid w:val="00DB339E"/>
    <w:rsid w:val="00DB3FD3"/>
    <w:rsid w:val="00DB4456"/>
    <w:rsid w:val="00DB52C9"/>
    <w:rsid w:val="00DB5D24"/>
    <w:rsid w:val="00DB6087"/>
    <w:rsid w:val="00DB70A3"/>
    <w:rsid w:val="00DB7BB7"/>
    <w:rsid w:val="00DC27F0"/>
    <w:rsid w:val="00DC54F7"/>
    <w:rsid w:val="00DC56E0"/>
    <w:rsid w:val="00DC607E"/>
    <w:rsid w:val="00DC7839"/>
    <w:rsid w:val="00DD10FA"/>
    <w:rsid w:val="00DD1C55"/>
    <w:rsid w:val="00DD2694"/>
    <w:rsid w:val="00DD2EBE"/>
    <w:rsid w:val="00DD39BC"/>
    <w:rsid w:val="00DD434E"/>
    <w:rsid w:val="00DD5E8D"/>
    <w:rsid w:val="00DD5FAB"/>
    <w:rsid w:val="00DD672A"/>
    <w:rsid w:val="00DD7E0D"/>
    <w:rsid w:val="00DD7E6B"/>
    <w:rsid w:val="00DE014A"/>
    <w:rsid w:val="00DE2BB0"/>
    <w:rsid w:val="00DE2CB7"/>
    <w:rsid w:val="00DE3F90"/>
    <w:rsid w:val="00DE40B6"/>
    <w:rsid w:val="00DE433C"/>
    <w:rsid w:val="00DE48E0"/>
    <w:rsid w:val="00DE6086"/>
    <w:rsid w:val="00DE671D"/>
    <w:rsid w:val="00DE72D0"/>
    <w:rsid w:val="00DF1B3A"/>
    <w:rsid w:val="00DF2595"/>
    <w:rsid w:val="00DF25EC"/>
    <w:rsid w:val="00DF28A1"/>
    <w:rsid w:val="00DF3A62"/>
    <w:rsid w:val="00DF3DFE"/>
    <w:rsid w:val="00DF40B8"/>
    <w:rsid w:val="00DF51CD"/>
    <w:rsid w:val="00DF5C8D"/>
    <w:rsid w:val="00DF6162"/>
    <w:rsid w:val="00DF6DFD"/>
    <w:rsid w:val="00DF7529"/>
    <w:rsid w:val="00E02787"/>
    <w:rsid w:val="00E028CE"/>
    <w:rsid w:val="00E063DB"/>
    <w:rsid w:val="00E065C5"/>
    <w:rsid w:val="00E06A2D"/>
    <w:rsid w:val="00E07213"/>
    <w:rsid w:val="00E1027F"/>
    <w:rsid w:val="00E104D5"/>
    <w:rsid w:val="00E10664"/>
    <w:rsid w:val="00E11076"/>
    <w:rsid w:val="00E114B7"/>
    <w:rsid w:val="00E11733"/>
    <w:rsid w:val="00E11BFB"/>
    <w:rsid w:val="00E121FB"/>
    <w:rsid w:val="00E1262B"/>
    <w:rsid w:val="00E12EC9"/>
    <w:rsid w:val="00E13596"/>
    <w:rsid w:val="00E15609"/>
    <w:rsid w:val="00E16B01"/>
    <w:rsid w:val="00E216F0"/>
    <w:rsid w:val="00E21CBA"/>
    <w:rsid w:val="00E2423B"/>
    <w:rsid w:val="00E2700B"/>
    <w:rsid w:val="00E27428"/>
    <w:rsid w:val="00E27810"/>
    <w:rsid w:val="00E32489"/>
    <w:rsid w:val="00E32824"/>
    <w:rsid w:val="00E32E75"/>
    <w:rsid w:val="00E33173"/>
    <w:rsid w:val="00E343C7"/>
    <w:rsid w:val="00E34C49"/>
    <w:rsid w:val="00E351EB"/>
    <w:rsid w:val="00E35488"/>
    <w:rsid w:val="00E354B3"/>
    <w:rsid w:val="00E35BE7"/>
    <w:rsid w:val="00E37337"/>
    <w:rsid w:val="00E37F65"/>
    <w:rsid w:val="00E40048"/>
    <w:rsid w:val="00E416FD"/>
    <w:rsid w:val="00E41AA8"/>
    <w:rsid w:val="00E42859"/>
    <w:rsid w:val="00E42905"/>
    <w:rsid w:val="00E44A11"/>
    <w:rsid w:val="00E4610D"/>
    <w:rsid w:val="00E46F98"/>
    <w:rsid w:val="00E473A6"/>
    <w:rsid w:val="00E4754F"/>
    <w:rsid w:val="00E5151B"/>
    <w:rsid w:val="00E51A26"/>
    <w:rsid w:val="00E5248D"/>
    <w:rsid w:val="00E5263E"/>
    <w:rsid w:val="00E52654"/>
    <w:rsid w:val="00E52EC3"/>
    <w:rsid w:val="00E534F8"/>
    <w:rsid w:val="00E55743"/>
    <w:rsid w:val="00E564EE"/>
    <w:rsid w:val="00E576F5"/>
    <w:rsid w:val="00E60295"/>
    <w:rsid w:val="00E608F1"/>
    <w:rsid w:val="00E6124B"/>
    <w:rsid w:val="00E615E4"/>
    <w:rsid w:val="00E61627"/>
    <w:rsid w:val="00E622F4"/>
    <w:rsid w:val="00E64BAA"/>
    <w:rsid w:val="00E64E59"/>
    <w:rsid w:val="00E64EB8"/>
    <w:rsid w:val="00E65B68"/>
    <w:rsid w:val="00E70825"/>
    <w:rsid w:val="00E70E5A"/>
    <w:rsid w:val="00E72467"/>
    <w:rsid w:val="00E7310E"/>
    <w:rsid w:val="00E736A7"/>
    <w:rsid w:val="00E740D4"/>
    <w:rsid w:val="00E74AAE"/>
    <w:rsid w:val="00E77467"/>
    <w:rsid w:val="00E80773"/>
    <w:rsid w:val="00E83713"/>
    <w:rsid w:val="00E8550B"/>
    <w:rsid w:val="00E86690"/>
    <w:rsid w:val="00E87F6C"/>
    <w:rsid w:val="00E90CCC"/>
    <w:rsid w:val="00E92995"/>
    <w:rsid w:val="00E94657"/>
    <w:rsid w:val="00E94AFD"/>
    <w:rsid w:val="00E95D15"/>
    <w:rsid w:val="00E96463"/>
    <w:rsid w:val="00E966A0"/>
    <w:rsid w:val="00E96FA3"/>
    <w:rsid w:val="00EA0696"/>
    <w:rsid w:val="00EA1673"/>
    <w:rsid w:val="00EA1C98"/>
    <w:rsid w:val="00EA1F98"/>
    <w:rsid w:val="00EA226E"/>
    <w:rsid w:val="00EA2B30"/>
    <w:rsid w:val="00EA31B7"/>
    <w:rsid w:val="00EA3F76"/>
    <w:rsid w:val="00EA4BBA"/>
    <w:rsid w:val="00EA52B8"/>
    <w:rsid w:val="00EA56F1"/>
    <w:rsid w:val="00EA65DD"/>
    <w:rsid w:val="00EA6A46"/>
    <w:rsid w:val="00EA70CA"/>
    <w:rsid w:val="00EA7BAE"/>
    <w:rsid w:val="00EB149B"/>
    <w:rsid w:val="00EB16C7"/>
    <w:rsid w:val="00EB24E4"/>
    <w:rsid w:val="00EB3E23"/>
    <w:rsid w:val="00EB4BB1"/>
    <w:rsid w:val="00EB4D0F"/>
    <w:rsid w:val="00EB4EF0"/>
    <w:rsid w:val="00EB643C"/>
    <w:rsid w:val="00EB6C11"/>
    <w:rsid w:val="00EB7228"/>
    <w:rsid w:val="00EC00ED"/>
    <w:rsid w:val="00EC0C37"/>
    <w:rsid w:val="00EC242D"/>
    <w:rsid w:val="00EC49EB"/>
    <w:rsid w:val="00EC5025"/>
    <w:rsid w:val="00EC5487"/>
    <w:rsid w:val="00EC5A8A"/>
    <w:rsid w:val="00EC60E9"/>
    <w:rsid w:val="00EC7257"/>
    <w:rsid w:val="00ED18D3"/>
    <w:rsid w:val="00ED2136"/>
    <w:rsid w:val="00ED28AC"/>
    <w:rsid w:val="00ED29AE"/>
    <w:rsid w:val="00ED33FC"/>
    <w:rsid w:val="00ED452A"/>
    <w:rsid w:val="00ED7494"/>
    <w:rsid w:val="00EE0F7A"/>
    <w:rsid w:val="00EE1A75"/>
    <w:rsid w:val="00EE20DA"/>
    <w:rsid w:val="00EE2C6E"/>
    <w:rsid w:val="00EE3A5F"/>
    <w:rsid w:val="00EE4DEC"/>
    <w:rsid w:val="00EE778E"/>
    <w:rsid w:val="00EF0174"/>
    <w:rsid w:val="00EF0437"/>
    <w:rsid w:val="00EF06B8"/>
    <w:rsid w:val="00EF1EC2"/>
    <w:rsid w:val="00EF26D8"/>
    <w:rsid w:val="00EF2E90"/>
    <w:rsid w:val="00EF3F76"/>
    <w:rsid w:val="00EF4DB8"/>
    <w:rsid w:val="00EF58F7"/>
    <w:rsid w:val="00EF7A6D"/>
    <w:rsid w:val="00EF7C99"/>
    <w:rsid w:val="00F008F6"/>
    <w:rsid w:val="00F00EFB"/>
    <w:rsid w:val="00F01F8D"/>
    <w:rsid w:val="00F02CFD"/>
    <w:rsid w:val="00F035D0"/>
    <w:rsid w:val="00F0379A"/>
    <w:rsid w:val="00F04065"/>
    <w:rsid w:val="00F0585D"/>
    <w:rsid w:val="00F05B5F"/>
    <w:rsid w:val="00F10CEA"/>
    <w:rsid w:val="00F11753"/>
    <w:rsid w:val="00F118D1"/>
    <w:rsid w:val="00F14A92"/>
    <w:rsid w:val="00F150E3"/>
    <w:rsid w:val="00F15EF6"/>
    <w:rsid w:val="00F165BD"/>
    <w:rsid w:val="00F17E0F"/>
    <w:rsid w:val="00F21074"/>
    <w:rsid w:val="00F220ED"/>
    <w:rsid w:val="00F2280E"/>
    <w:rsid w:val="00F23E18"/>
    <w:rsid w:val="00F23ED8"/>
    <w:rsid w:val="00F247D7"/>
    <w:rsid w:val="00F249C8"/>
    <w:rsid w:val="00F25FD9"/>
    <w:rsid w:val="00F261DA"/>
    <w:rsid w:val="00F26EF1"/>
    <w:rsid w:val="00F27AA0"/>
    <w:rsid w:val="00F302C5"/>
    <w:rsid w:val="00F30AD9"/>
    <w:rsid w:val="00F30DCB"/>
    <w:rsid w:val="00F310CB"/>
    <w:rsid w:val="00F31ACF"/>
    <w:rsid w:val="00F31EFE"/>
    <w:rsid w:val="00F33952"/>
    <w:rsid w:val="00F34629"/>
    <w:rsid w:val="00F3511F"/>
    <w:rsid w:val="00F360E0"/>
    <w:rsid w:val="00F36324"/>
    <w:rsid w:val="00F363E0"/>
    <w:rsid w:val="00F36A6F"/>
    <w:rsid w:val="00F37A96"/>
    <w:rsid w:val="00F4023A"/>
    <w:rsid w:val="00F40DD6"/>
    <w:rsid w:val="00F42076"/>
    <w:rsid w:val="00F431F4"/>
    <w:rsid w:val="00F43491"/>
    <w:rsid w:val="00F43775"/>
    <w:rsid w:val="00F43D78"/>
    <w:rsid w:val="00F44A34"/>
    <w:rsid w:val="00F46410"/>
    <w:rsid w:val="00F46F94"/>
    <w:rsid w:val="00F51F6B"/>
    <w:rsid w:val="00F55726"/>
    <w:rsid w:val="00F56DA9"/>
    <w:rsid w:val="00F6114A"/>
    <w:rsid w:val="00F643A5"/>
    <w:rsid w:val="00F65B2B"/>
    <w:rsid w:val="00F65C7B"/>
    <w:rsid w:val="00F65F0E"/>
    <w:rsid w:val="00F7134F"/>
    <w:rsid w:val="00F71957"/>
    <w:rsid w:val="00F7364E"/>
    <w:rsid w:val="00F7427A"/>
    <w:rsid w:val="00F76C82"/>
    <w:rsid w:val="00F816EE"/>
    <w:rsid w:val="00F817D6"/>
    <w:rsid w:val="00F829DE"/>
    <w:rsid w:val="00F82F5E"/>
    <w:rsid w:val="00F83289"/>
    <w:rsid w:val="00F83F63"/>
    <w:rsid w:val="00F841BC"/>
    <w:rsid w:val="00F841EC"/>
    <w:rsid w:val="00F84AD3"/>
    <w:rsid w:val="00F855E1"/>
    <w:rsid w:val="00F85A15"/>
    <w:rsid w:val="00F861FA"/>
    <w:rsid w:val="00F86F22"/>
    <w:rsid w:val="00F901FC"/>
    <w:rsid w:val="00F90525"/>
    <w:rsid w:val="00F90F43"/>
    <w:rsid w:val="00F91177"/>
    <w:rsid w:val="00F93384"/>
    <w:rsid w:val="00F942B6"/>
    <w:rsid w:val="00F94B7B"/>
    <w:rsid w:val="00F96265"/>
    <w:rsid w:val="00F96864"/>
    <w:rsid w:val="00F97F79"/>
    <w:rsid w:val="00FA0398"/>
    <w:rsid w:val="00FA0408"/>
    <w:rsid w:val="00FA4CDE"/>
    <w:rsid w:val="00FA57BB"/>
    <w:rsid w:val="00FA7E4F"/>
    <w:rsid w:val="00FB0885"/>
    <w:rsid w:val="00FB1603"/>
    <w:rsid w:val="00FB48FE"/>
    <w:rsid w:val="00FB4DA3"/>
    <w:rsid w:val="00FB584E"/>
    <w:rsid w:val="00FB6921"/>
    <w:rsid w:val="00FC08C2"/>
    <w:rsid w:val="00FC168A"/>
    <w:rsid w:val="00FC29C6"/>
    <w:rsid w:val="00FC3480"/>
    <w:rsid w:val="00FC5CFE"/>
    <w:rsid w:val="00FC7E56"/>
    <w:rsid w:val="00FD1DA9"/>
    <w:rsid w:val="00FD397D"/>
    <w:rsid w:val="00FD61F8"/>
    <w:rsid w:val="00FE0D5A"/>
    <w:rsid w:val="00FE2F65"/>
    <w:rsid w:val="00FE432C"/>
    <w:rsid w:val="00FE44CF"/>
    <w:rsid w:val="00FE6543"/>
    <w:rsid w:val="00FE70DD"/>
    <w:rsid w:val="00FF0885"/>
    <w:rsid w:val="00FF2662"/>
    <w:rsid w:val="00FF30B8"/>
    <w:rsid w:val="00FF33EE"/>
    <w:rsid w:val="00FF3BB3"/>
    <w:rsid w:val="00FF5455"/>
    <w:rsid w:val="00FF5EA6"/>
    <w:rsid w:val="00FF761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0E3E"/>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rsid w:val="00A13E6B"/>
    <w:pPr>
      <w:tabs>
        <w:tab w:val="center" w:pos="4153"/>
        <w:tab w:val="right" w:pos="8306"/>
      </w:tabs>
      <w:snapToGrid w:val="0"/>
    </w:pPr>
    <w:rPr>
      <w:szCs w:val="20"/>
      <w:lang/>
    </w:rPr>
  </w:style>
  <w:style w:type="character" w:customStyle="1" w:styleId="FooterChar">
    <w:name w:val="Footer Char"/>
    <w:link w:val="Footer"/>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customStyle="1" w:styleId="Default">
    <w:name w:val="Default"/>
    <w:rsid w:val="00256C37"/>
    <w:pPr>
      <w:autoSpaceDE w:val="0"/>
      <w:autoSpaceDN w:val="0"/>
      <w:adjustRightInd w:val="0"/>
    </w:pPr>
    <w:rPr>
      <w:rFonts w:ascii="Arial" w:hAnsi="Arial" w:cs="Arial"/>
      <w:color w:val="000000"/>
      <w:sz w:val="24"/>
      <w:szCs w:val="24"/>
    </w:rPr>
  </w:style>
  <w:style w:type="paragraph" w:customStyle="1" w:styleId="CharChar1CharCharCharCharCharCharCharCharCharCharCharCharCharCharChar">
    <w:name w:val="Char Char1 Char Char Char Char Char Char Char Char Char Char Char Char Char Char Char"/>
    <w:semiHidden/>
    <w:rsid w:val="007E53C2"/>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ocumentMap">
    <w:name w:val="Document Map"/>
    <w:basedOn w:val="Normal"/>
    <w:link w:val="DocumentMapChar"/>
    <w:rsid w:val="00BF7472"/>
    <w:rPr>
      <w:rFonts w:ascii="SimSun" w:eastAsia="SimSun"/>
      <w:sz w:val="18"/>
      <w:szCs w:val="18"/>
    </w:rPr>
  </w:style>
  <w:style w:type="character" w:customStyle="1" w:styleId="DocumentMapChar">
    <w:name w:val="Document Map Char"/>
    <w:basedOn w:val="DefaultParagraphFont"/>
    <w:link w:val="DocumentMap"/>
    <w:rsid w:val="00BF7472"/>
    <w:rPr>
      <w:rFonts w:ascii="SimSun" w:eastAsia="SimSun"/>
      <w:sz w:val="18"/>
      <w:szCs w:val="18"/>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43A5"/>
    <w:rPr>
      <w:rFonts w:ascii="Helvetica" w:eastAsia="MS Mincho" w:hAnsi="Helvetica" w:cs="Arial"/>
      <w:b/>
      <w:bCs/>
      <w:kern w:val="32"/>
      <w:sz w:val="28"/>
      <w:szCs w:val="32"/>
      <w:lang w:eastAsia="en-US"/>
    </w:rPr>
  </w:style>
</w:styles>
</file>

<file path=word/webSettings.xml><?xml version="1.0" encoding="utf-8"?>
<w:webSettings xmlns:r="http://schemas.openxmlformats.org/officeDocument/2006/relationships" xmlns:w="http://schemas.openxmlformats.org/wordprocessingml/2006/main">
  <w:divs>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10842373">
      <w:bodyDiv w:val="1"/>
      <w:marLeft w:val="0"/>
      <w:marRight w:val="0"/>
      <w:marTop w:val="0"/>
      <w:marBottom w:val="0"/>
      <w:divBdr>
        <w:top w:val="none" w:sz="0" w:space="0" w:color="auto"/>
        <w:left w:val="none" w:sz="0" w:space="0" w:color="auto"/>
        <w:bottom w:val="none" w:sz="0" w:space="0" w:color="auto"/>
        <w:right w:val="none" w:sz="0" w:space="0" w:color="auto"/>
      </w:divBdr>
    </w:div>
    <w:div w:id="14163360">
      <w:bodyDiv w:val="1"/>
      <w:marLeft w:val="0"/>
      <w:marRight w:val="0"/>
      <w:marTop w:val="0"/>
      <w:marBottom w:val="0"/>
      <w:divBdr>
        <w:top w:val="none" w:sz="0" w:space="0" w:color="auto"/>
        <w:left w:val="none" w:sz="0" w:space="0" w:color="auto"/>
        <w:bottom w:val="none" w:sz="0" w:space="0" w:color="auto"/>
        <w:right w:val="none" w:sz="0" w:space="0" w:color="auto"/>
      </w:divBdr>
    </w:div>
    <w:div w:id="17581354">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1180742">
      <w:bodyDiv w:val="1"/>
      <w:marLeft w:val="0"/>
      <w:marRight w:val="0"/>
      <w:marTop w:val="0"/>
      <w:marBottom w:val="0"/>
      <w:divBdr>
        <w:top w:val="none" w:sz="0" w:space="0" w:color="auto"/>
        <w:left w:val="none" w:sz="0" w:space="0" w:color="auto"/>
        <w:bottom w:val="none" w:sz="0" w:space="0" w:color="auto"/>
        <w:right w:val="none" w:sz="0" w:space="0" w:color="auto"/>
      </w:divBdr>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47581737">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71508665">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1478432">
      <w:bodyDiv w:val="1"/>
      <w:marLeft w:val="0"/>
      <w:marRight w:val="0"/>
      <w:marTop w:val="0"/>
      <w:marBottom w:val="0"/>
      <w:divBdr>
        <w:top w:val="none" w:sz="0" w:space="0" w:color="auto"/>
        <w:left w:val="none" w:sz="0" w:space="0" w:color="auto"/>
        <w:bottom w:val="none" w:sz="0" w:space="0" w:color="auto"/>
        <w:right w:val="none" w:sz="0" w:space="0" w:color="auto"/>
      </w:divBdr>
    </w:div>
    <w:div w:id="145754881">
      <w:bodyDiv w:val="1"/>
      <w:marLeft w:val="0"/>
      <w:marRight w:val="0"/>
      <w:marTop w:val="0"/>
      <w:marBottom w:val="0"/>
      <w:divBdr>
        <w:top w:val="none" w:sz="0" w:space="0" w:color="auto"/>
        <w:left w:val="none" w:sz="0" w:space="0" w:color="auto"/>
        <w:bottom w:val="none" w:sz="0" w:space="0" w:color="auto"/>
        <w:right w:val="none" w:sz="0" w:space="0" w:color="auto"/>
      </w:divBdr>
    </w:div>
    <w:div w:id="180515362">
      <w:bodyDiv w:val="1"/>
      <w:marLeft w:val="0"/>
      <w:marRight w:val="0"/>
      <w:marTop w:val="0"/>
      <w:marBottom w:val="0"/>
      <w:divBdr>
        <w:top w:val="none" w:sz="0" w:space="0" w:color="auto"/>
        <w:left w:val="none" w:sz="0" w:space="0" w:color="auto"/>
        <w:bottom w:val="none" w:sz="0" w:space="0" w:color="auto"/>
        <w:right w:val="none" w:sz="0" w:space="0" w:color="auto"/>
      </w:divBdr>
    </w:div>
    <w:div w:id="199823665">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28350818">
      <w:bodyDiv w:val="1"/>
      <w:marLeft w:val="0"/>
      <w:marRight w:val="0"/>
      <w:marTop w:val="0"/>
      <w:marBottom w:val="0"/>
      <w:divBdr>
        <w:top w:val="none" w:sz="0" w:space="0" w:color="auto"/>
        <w:left w:val="none" w:sz="0" w:space="0" w:color="auto"/>
        <w:bottom w:val="none" w:sz="0" w:space="0" w:color="auto"/>
        <w:right w:val="none" w:sz="0" w:space="0" w:color="auto"/>
      </w:divBdr>
    </w:div>
    <w:div w:id="230435304">
      <w:bodyDiv w:val="1"/>
      <w:marLeft w:val="0"/>
      <w:marRight w:val="0"/>
      <w:marTop w:val="0"/>
      <w:marBottom w:val="0"/>
      <w:divBdr>
        <w:top w:val="none" w:sz="0" w:space="0" w:color="auto"/>
        <w:left w:val="none" w:sz="0" w:space="0" w:color="auto"/>
        <w:bottom w:val="none" w:sz="0" w:space="0" w:color="auto"/>
        <w:right w:val="none" w:sz="0" w:space="0" w:color="auto"/>
      </w:divBdr>
    </w:div>
    <w:div w:id="244919196">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83269883">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53926275">
      <w:bodyDiv w:val="1"/>
      <w:marLeft w:val="0"/>
      <w:marRight w:val="0"/>
      <w:marTop w:val="0"/>
      <w:marBottom w:val="0"/>
      <w:divBdr>
        <w:top w:val="none" w:sz="0" w:space="0" w:color="auto"/>
        <w:left w:val="none" w:sz="0" w:space="0" w:color="auto"/>
        <w:bottom w:val="none" w:sz="0" w:space="0" w:color="auto"/>
        <w:right w:val="none" w:sz="0" w:space="0" w:color="auto"/>
      </w:divBdr>
    </w:div>
    <w:div w:id="354117769">
      <w:bodyDiv w:val="1"/>
      <w:marLeft w:val="0"/>
      <w:marRight w:val="0"/>
      <w:marTop w:val="0"/>
      <w:marBottom w:val="0"/>
      <w:divBdr>
        <w:top w:val="none" w:sz="0" w:space="0" w:color="auto"/>
        <w:left w:val="none" w:sz="0" w:space="0" w:color="auto"/>
        <w:bottom w:val="none" w:sz="0" w:space="0" w:color="auto"/>
        <w:right w:val="none" w:sz="0" w:space="0" w:color="auto"/>
      </w:divBdr>
    </w:div>
    <w:div w:id="378361506">
      <w:bodyDiv w:val="1"/>
      <w:marLeft w:val="0"/>
      <w:marRight w:val="0"/>
      <w:marTop w:val="0"/>
      <w:marBottom w:val="0"/>
      <w:divBdr>
        <w:top w:val="none" w:sz="0" w:space="0" w:color="auto"/>
        <w:left w:val="none" w:sz="0" w:space="0" w:color="auto"/>
        <w:bottom w:val="none" w:sz="0" w:space="0" w:color="auto"/>
        <w:right w:val="none" w:sz="0" w:space="0" w:color="auto"/>
      </w:divBdr>
    </w:div>
    <w:div w:id="397828298">
      <w:bodyDiv w:val="1"/>
      <w:marLeft w:val="0"/>
      <w:marRight w:val="0"/>
      <w:marTop w:val="0"/>
      <w:marBottom w:val="0"/>
      <w:divBdr>
        <w:top w:val="none" w:sz="0" w:space="0" w:color="auto"/>
        <w:left w:val="none" w:sz="0" w:space="0" w:color="auto"/>
        <w:bottom w:val="none" w:sz="0" w:space="0" w:color="auto"/>
        <w:right w:val="none" w:sz="0" w:space="0" w:color="auto"/>
      </w:divBdr>
    </w:div>
    <w:div w:id="441263977">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3417012">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6578209">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09775717">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41231059">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1082994">
      <w:bodyDiv w:val="1"/>
      <w:marLeft w:val="0"/>
      <w:marRight w:val="0"/>
      <w:marTop w:val="0"/>
      <w:marBottom w:val="0"/>
      <w:divBdr>
        <w:top w:val="none" w:sz="0" w:space="0" w:color="auto"/>
        <w:left w:val="none" w:sz="0" w:space="0" w:color="auto"/>
        <w:bottom w:val="none" w:sz="0" w:space="0" w:color="auto"/>
        <w:right w:val="none" w:sz="0" w:space="0" w:color="auto"/>
      </w:divBdr>
    </w:div>
    <w:div w:id="683871682">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9640000">
      <w:bodyDiv w:val="1"/>
      <w:marLeft w:val="0"/>
      <w:marRight w:val="0"/>
      <w:marTop w:val="0"/>
      <w:marBottom w:val="0"/>
      <w:divBdr>
        <w:top w:val="none" w:sz="0" w:space="0" w:color="auto"/>
        <w:left w:val="none" w:sz="0" w:space="0" w:color="auto"/>
        <w:bottom w:val="none" w:sz="0" w:space="0" w:color="auto"/>
        <w:right w:val="none" w:sz="0" w:space="0" w:color="auto"/>
      </w:divBdr>
    </w:div>
    <w:div w:id="808472564">
      <w:bodyDiv w:val="1"/>
      <w:marLeft w:val="0"/>
      <w:marRight w:val="0"/>
      <w:marTop w:val="0"/>
      <w:marBottom w:val="0"/>
      <w:divBdr>
        <w:top w:val="none" w:sz="0" w:space="0" w:color="auto"/>
        <w:left w:val="none" w:sz="0" w:space="0" w:color="auto"/>
        <w:bottom w:val="none" w:sz="0" w:space="0" w:color="auto"/>
        <w:right w:val="none" w:sz="0" w:space="0" w:color="auto"/>
      </w:divBdr>
    </w:div>
    <w:div w:id="828642131">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53690999">
      <w:bodyDiv w:val="1"/>
      <w:marLeft w:val="0"/>
      <w:marRight w:val="0"/>
      <w:marTop w:val="0"/>
      <w:marBottom w:val="0"/>
      <w:divBdr>
        <w:top w:val="none" w:sz="0" w:space="0" w:color="auto"/>
        <w:left w:val="none" w:sz="0" w:space="0" w:color="auto"/>
        <w:bottom w:val="none" w:sz="0" w:space="0" w:color="auto"/>
        <w:right w:val="none" w:sz="0" w:space="0" w:color="auto"/>
      </w:divBdr>
    </w:div>
    <w:div w:id="876312108">
      <w:bodyDiv w:val="1"/>
      <w:marLeft w:val="0"/>
      <w:marRight w:val="0"/>
      <w:marTop w:val="0"/>
      <w:marBottom w:val="0"/>
      <w:divBdr>
        <w:top w:val="none" w:sz="0" w:space="0" w:color="auto"/>
        <w:left w:val="none" w:sz="0" w:space="0" w:color="auto"/>
        <w:bottom w:val="none" w:sz="0" w:space="0" w:color="auto"/>
        <w:right w:val="none" w:sz="0" w:space="0" w:color="auto"/>
      </w:divBdr>
    </w:div>
    <w:div w:id="882791918">
      <w:bodyDiv w:val="1"/>
      <w:marLeft w:val="0"/>
      <w:marRight w:val="0"/>
      <w:marTop w:val="0"/>
      <w:marBottom w:val="0"/>
      <w:divBdr>
        <w:top w:val="none" w:sz="0" w:space="0" w:color="auto"/>
        <w:left w:val="none" w:sz="0" w:space="0" w:color="auto"/>
        <w:bottom w:val="none" w:sz="0" w:space="0" w:color="auto"/>
        <w:right w:val="none" w:sz="0" w:space="0" w:color="auto"/>
      </w:divBdr>
    </w:div>
    <w:div w:id="890843748">
      <w:bodyDiv w:val="1"/>
      <w:marLeft w:val="0"/>
      <w:marRight w:val="0"/>
      <w:marTop w:val="0"/>
      <w:marBottom w:val="0"/>
      <w:divBdr>
        <w:top w:val="none" w:sz="0" w:space="0" w:color="auto"/>
        <w:left w:val="none" w:sz="0" w:space="0" w:color="auto"/>
        <w:bottom w:val="none" w:sz="0" w:space="0" w:color="auto"/>
        <w:right w:val="none" w:sz="0" w:space="0" w:color="auto"/>
      </w:divBdr>
    </w:div>
    <w:div w:id="904678582">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6814328">
      <w:bodyDiv w:val="1"/>
      <w:marLeft w:val="0"/>
      <w:marRight w:val="0"/>
      <w:marTop w:val="0"/>
      <w:marBottom w:val="0"/>
      <w:divBdr>
        <w:top w:val="none" w:sz="0" w:space="0" w:color="auto"/>
        <w:left w:val="none" w:sz="0" w:space="0" w:color="auto"/>
        <w:bottom w:val="none" w:sz="0" w:space="0" w:color="auto"/>
        <w:right w:val="none" w:sz="0" w:space="0" w:color="auto"/>
      </w:divBdr>
    </w:div>
    <w:div w:id="932934610">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6419706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109397897">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248272729">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23506754">
      <w:bodyDiv w:val="1"/>
      <w:marLeft w:val="0"/>
      <w:marRight w:val="0"/>
      <w:marTop w:val="0"/>
      <w:marBottom w:val="0"/>
      <w:divBdr>
        <w:top w:val="none" w:sz="0" w:space="0" w:color="auto"/>
        <w:left w:val="none" w:sz="0" w:space="0" w:color="auto"/>
        <w:bottom w:val="none" w:sz="0" w:space="0" w:color="auto"/>
        <w:right w:val="none" w:sz="0" w:space="0" w:color="auto"/>
      </w:divBdr>
    </w:div>
    <w:div w:id="1331715909">
      <w:bodyDiv w:val="1"/>
      <w:marLeft w:val="0"/>
      <w:marRight w:val="0"/>
      <w:marTop w:val="0"/>
      <w:marBottom w:val="0"/>
      <w:divBdr>
        <w:top w:val="none" w:sz="0" w:space="0" w:color="auto"/>
        <w:left w:val="none" w:sz="0" w:space="0" w:color="auto"/>
        <w:bottom w:val="none" w:sz="0" w:space="0" w:color="auto"/>
        <w:right w:val="none" w:sz="0" w:space="0" w:color="auto"/>
      </w:divBdr>
    </w:div>
    <w:div w:id="1342196111">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7168394">
      <w:bodyDiv w:val="1"/>
      <w:marLeft w:val="0"/>
      <w:marRight w:val="0"/>
      <w:marTop w:val="0"/>
      <w:marBottom w:val="0"/>
      <w:divBdr>
        <w:top w:val="none" w:sz="0" w:space="0" w:color="auto"/>
        <w:left w:val="none" w:sz="0" w:space="0" w:color="auto"/>
        <w:bottom w:val="none" w:sz="0" w:space="0" w:color="auto"/>
        <w:right w:val="none" w:sz="0" w:space="0" w:color="auto"/>
      </w:divBdr>
    </w:div>
    <w:div w:id="1498113668">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5735766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9188452">
      <w:bodyDiv w:val="1"/>
      <w:marLeft w:val="0"/>
      <w:marRight w:val="0"/>
      <w:marTop w:val="0"/>
      <w:marBottom w:val="0"/>
      <w:divBdr>
        <w:top w:val="none" w:sz="0" w:space="0" w:color="auto"/>
        <w:left w:val="none" w:sz="0" w:space="0" w:color="auto"/>
        <w:bottom w:val="none" w:sz="0" w:space="0" w:color="auto"/>
        <w:right w:val="none" w:sz="0" w:space="0" w:color="auto"/>
      </w:divBdr>
    </w:div>
    <w:div w:id="1619331112">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40573329">
      <w:bodyDiv w:val="1"/>
      <w:marLeft w:val="0"/>
      <w:marRight w:val="0"/>
      <w:marTop w:val="0"/>
      <w:marBottom w:val="0"/>
      <w:divBdr>
        <w:top w:val="none" w:sz="0" w:space="0" w:color="auto"/>
        <w:left w:val="none" w:sz="0" w:space="0" w:color="auto"/>
        <w:bottom w:val="none" w:sz="0" w:space="0" w:color="auto"/>
        <w:right w:val="none" w:sz="0" w:space="0" w:color="auto"/>
      </w:divBdr>
    </w:div>
    <w:div w:id="1646668315">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731658029">
      <w:bodyDiv w:val="1"/>
      <w:marLeft w:val="0"/>
      <w:marRight w:val="0"/>
      <w:marTop w:val="0"/>
      <w:marBottom w:val="0"/>
      <w:divBdr>
        <w:top w:val="none" w:sz="0" w:space="0" w:color="auto"/>
        <w:left w:val="none" w:sz="0" w:space="0" w:color="auto"/>
        <w:bottom w:val="none" w:sz="0" w:space="0" w:color="auto"/>
        <w:right w:val="none" w:sz="0" w:space="0" w:color="auto"/>
      </w:divBdr>
      <w:divsChild>
        <w:div w:id="357581424">
          <w:marLeft w:val="547"/>
          <w:marRight w:val="0"/>
          <w:marTop w:val="115"/>
          <w:marBottom w:val="0"/>
          <w:divBdr>
            <w:top w:val="none" w:sz="0" w:space="0" w:color="auto"/>
            <w:left w:val="none" w:sz="0" w:space="0" w:color="auto"/>
            <w:bottom w:val="none" w:sz="0" w:space="0" w:color="auto"/>
            <w:right w:val="none" w:sz="0" w:space="0" w:color="auto"/>
          </w:divBdr>
        </w:div>
        <w:div w:id="1496066384">
          <w:marLeft w:val="1166"/>
          <w:marRight w:val="0"/>
          <w:marTop w:val="96"/>
          <w:marBottom w:val="0"/>
          <w:divBdr>
            <w:top w:val="none" w:sz="0" w:space="0" w:color="auto"/>
            <w:left w:val="none" w:sz="0" w:space="0" w:color="auto"/>
            <w:bottom w:val="none" w:sz="0" w:space="0" w:color="auto"/>
            <w:right w:val="none" w:sz="0" w:space="0" w:color="auto"/>
          </w:divBdr>
        </w:div>
      </w:divsChild>
    </w:div>
    <w:div w:id="1736077102">
      <w:bodyDiv w:val="1"/>
      <w:marLeft w:val="0"/>
      <w:marRight w:val="0"/>
      <w:marTop w:val="0"/>
      <w:marBottom w:val="0"/>
      <w:divBdr>
        <w:top w:val="none" w:sz="0" w:space="0" w:color="auto"/>
        <w:left w:val="none" w:sz="0" w:space="0" w:color="auto"/>
        <w:bottom w:val="none" w:sz="0" w:space="0" w:color="auto"/>
        <w:right w:val="none" w:sz="0" w:space="0" w:color="auto"/>
      </w:divBdr>
    </w:div>
    <w:div w:id="1739550411">
      <w:bodyDiv w:val="1"/>
      <w:marLeft w:val="0"/>
      <w:marRight w:val="0"/>
      <w:marTop w:val="0"/>
      <w:marBottom w:val="0"/>
      <w:divBdr>
        <w:top w:val="none" w:sz="0" w:space="0" w:color="auto"/>
        <w:left w:val="none" w:sz="0" w:space="0" w:color="auto"/>
        <w:bottom w:val="none" w:sz="0" w:space="0" w:color="auto"/>
        <w:right w:val="none" w:sz="0" w:space="0" w:color="auto"/>
      </w:divBdr>
    </w:div>
    <w:div w:id="1750998198">
      <w:bodyDiv w:val="1"/>
      <w:marLeft w:val="0"/>
      <w:marRight w:val="0"/>
      <w:marTop w:val="0"/>
      <w:marBottom w:val="0"/>
      <w:divBdr>
        <w:top w:val="none" w:sz="0" w:space="0" w:color="auto"/>
        <w:left w:val="none" w:sz="0" w:space="0" w:color="auto"/>
        <w:bottom w:val="none" w:sz="0" w:space="0" w:color="auto"/>
        <w:right w:val="none" w:sz="0" w:space="0" w:color="auto"/>
      </w:divBdr>
    </w:div>
    <w:div w:id="175867368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75996853">
      <w:bodyDiv w:val="1"/>
      <w:marLeft w:val="0"/>
      <w:marRight w:val="0"/>
      <w:marTop w:val="0"/>
      <w:marBottom w:val="0"/>
      <w:divBdr>
        <w:top w:val="none" w:sz="0" w:space="0" w:color="auto"/>
        <w:left w:val="none" w:sz="0" w:space="0" w:color="auto"/>
        <w:bottom w:val="none" w:sz="0" w:space="0" w:color="auto"/>
        <w:right w:val="none" w:sz="0" w:space="0" w:color="auto"/>
      </w:divBdr>
    </w:div>
    <w:div w:id="1904217460">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34763171">
      <w:bodyDiv w:val="1"/>
      <w:marLeft w:val="0"/>
      <w:marRight w:val="0"/>
      <w:marTop w:val="0"/>
      <w:marBottom w:val="0"/>
      <w:divBdr>
        <w:top w:val="none" w:sz="0" w:space="0" w:color="auto"/>
        <w:left w:val="none" w:sz="0" w:space="0" w:color="auto"/>
        <w:bottom w:val="none" w:sz="0" w:space="0" w:color="auto"/>
        <w:right w:val="none" w:sz="0" w:space="0" w:color="auto"/>
      </w:divBdr>
    </w:div>
    <w:div w:id="2042195472">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73430800">
      <w:bodyDiv w:val="1"/>
      <w:marLeft w:val="0"/>
      <w:marRight w:val="0"/>
      <w:marTop w:val="0"/>
      <w:marBottom w:val="0"/>
      <w:divBdr>
        <w:top w:val="none" w:sz="0" w:space="0" w:color="auto"/>
        <w:left w:val="none" w:sz="0" w:space="0" w:color="auto"/>
        <w:bottom w:val="none" w:sz="0" w:space="0" w:color="auto"/>
        <w:right w:val="none" w:sz="0" w:space="0" w:color="auto"/>
      </w:divBdr>
    </w:div>
    <w:div w:id="2078553880">
      <w:bodyDiv w:val="1"/>
      <w:marLeft w:val="0"/>
      <w:marRight w:val="0"/>
      <w:marTop w:val="0"/>
      <w:marBottom w:val="0"/>
      <w:divBdr>
        <w:top w:val="none" w:sz="0" w:space="0" w:color="auto"/>
        <w:left w:val="none" w:sz="0" w:space="0" w:color="auto"/>
        <w:bottom w:val="none" w:sz="0" w:space="0" w:color="auto"/>
        <w:right w:val="none" w:sz="0" w:space="0" w:color="auto"/>
      </w:divBdr>
    </w:div>
    <w:div w:id="209705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95363-C5E3-4436-854B-89407B6D3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1258</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#65</vt:lpstr>
    </vt:vector>
  </TitlesOfParts>
  <Company/>
  <LinksUpToDate>false</LinksUpToDate>
  <CharactersWithSpaces>8413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#65</dc:title>
  <dc:subject/>
  <dc:creator>MediaTek</dc:creator>
  <cp:keywords/>
  <dc:description/>
  <cp:lastModifiedBy>vend_Zhuang - Jeff Zhuang</cp:lastModifiedBy>
  <cp:revision>5</cp:revision>
  <cp:lastPrinted>2010-08-17T10:58:00Z</cp:lastPrinted>
  <dcterms:created xsi:type="dcterms:W3CDTF">2012-02-01T02:45:00Z</dcterms:created>
  <dcterms:modified xsi:type="dcterms:W3CDTF">2012-02-01T03:40:00Z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-651591763</vt:i4>
  </property>
  <property fmtid="{D5CDD505-2E9C-101B-9397-08002B2CF9AE}" pid="3" name="_NewReviewCycle">
    <vt:lpwstr/>
  </property>
  <property fmtid="{D5CDD505-2E9C-101B-9397-08002B2CF9AE}" pid="4" name="_EmailSubject">
    <vt:lpwstr>[3GPP][RAN1]Tdoc review</vt:lpwstr>
  </property>
  <property fmtid="{D5CDD505-2E9C-101B-9397-08002B2CF9AE}" pid="5" name="_AuthorEmail">
    <vt:lpwstr>Jeff.Zhuang@mediatek.com</vt:lpwstr>
  </property>
  <property fmtid="{D5CDD505-2E9C-101B-9397-08002B2CF9AE}" pid="6" name="_AuthorEmailDisplayName">
    <vt:lpwstr>Jeff Zhuang</vt:lpwstr>
  </property>
  <property fmtid="{D5CDD505-2E9C-101B-9397-08002B2CF9AE}" pid="7" name="_PreviousAdHocReviewCycleID">
    <vt:i4>-2081652382</vt:i4>
  </property>
</Properties>
</file>